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napToGrid w:val="0"/>
        <w:spacing w:line="400" w:lineRule="exact"/>
        <w:jc w:val="left"/>
        <w:rPr>
          <w:rFonts w:hint="eastAsia" w:ascii="宋体" w:hAnsi="宋体" w:eastAsia="宋体" w:cs="宋体"/>
          <w:color w:val="000000"/>
          <w:sz w:val="21"/>
          <w:szCs w:val="21"/>
        </w:rPr>
      </w:pPr>
      <w:r>
        <w:rPr>
          <w:rFonts w:hint="eastAsia" w:ascii="宋体" w:hAnsi="宋体" w:eastAsia="宋体" w:cs="宋体"/>
          <w:color w:val="000000"/>
          <w:sz w:val="21"/>
          <w:szCs w:val="21"/>
        </w:rPr>
        <w:t>202</w:t>
      </w:r>
      <w:r>
        <w:rPr>
          <w:rFonts w:hint="eastAsia" w:ascii="宋体" w:hAnsi="宋体" w:cs="宋体"/>
          <w:color w:val="000000"/>
          <w:sz w:val="21"/>
          <w:szCs w:val="21"/>
          <w:lang w:val="en-US" w:eastAsia="zh-CN"/>
        </w:rPr>
        <w:t>5</w:t>
      </w:r>
      <w:r>
        <w:rPr>
          <w:rFonts w:hint="eastAsia" w:ascii="宋体" w:hAnsi="宋体" w:eastAsia="宋体" w:cs="宋体"/>
          <w:color w:val="000000"/>
          <w:sz w:val="21"/>
          <w:szCs w:val="21"/>
        </w:rPr>
        <w:t>年贵州省农业主推技术</w:t>
      </w:r>
    </w:p>
    <w:p>
      <w:pPr>
        <w:pStyle w:val="14"/>
        <w:widowControl w:val="0"/>
        <w:spacing w:before="0" w:beforeAutospacing="0" w:after="0" w:afterAutospacing="0" w:line="360" w:lineRule="auto"/>
        <w:jc w:val="both"/>
        <w:rPr>
          <w:rFonts w:hint="eastAsia" w:ascii="方正小标宋_GBK" w:hAnsi="方正小标宋_GBK" w:eastAsia="方正小标宋_GBK" w:cs="方正小标宋_GBK"/>
          <w:b w:val="0"/>
          <w:bCs/>
          <w:color w:val="000000"/>
          <w:kern w:val="2"/>
          <w:sz w:val="44"/>
          <w:szCs w:val="44"/>
          <w:lang w:val="en-US" w:eastAsia="zh-CN" w:bidi="ar-SA"/>
        </w:rPr>
      </w:pPr>
    </w:p>
    <w:p>
      <w:pPr>
        <w:pStyle w:val="14"/>
        <w:widowControl w:val="0"/>
        <w:spacing w:before="0" w:beforeAutospacing="0" w:after="0" w:afterAutospacing="0" w:line="360" w:lineRule="auto"/>
        <w:jc w:val="center"/>
        <w:rPr>
          <w:rFonts w:ascii="仿宋" w:hAnsi="仿宋" w:eastAsia="仿宋"/>
          <w:b/>
          <w:bCs/>
          <w:color w:val="000000"/>
          <w:sz w:val="44"/>
          <w:szCs w:val="44"/>
        </w:rPr>
      </w:pPr>
      <w:r>
        <w:rPr>
          <w:rFonts w:hint="eastAsia" w:ascii="方正小标宋_GBK" w:hAnsi="方正小标宋_GBK" w:eastAsia="方正小标宋_GBK" w:cs="方正小标宋_GBK"/>
          <w:b w:val="0"/>
          <w:bCs/>
          <w:color w:val="000000"/>
          <w:kern w:val="2"/>
          <w:sz w:val="44"/>
          <w:szCs w:val="44"/>
          <w:lang w:val="en-US" w:eastAsia="zh-CN" w:bidi="ar-SA"/>
        </w:rPr>
        <w:t>主要粮油作物药剂拌种技术</w:t>
      </w:r>
    </w:p>
    <w:p>
      <w:pPr>
        <w:pStyle w:val="14"/>
        <w:widowControl w:val="0"/>
        <w:spacing w:before="0" w:beforeAutospacing="0" w:after="0" w:afterAutospacing="0" w:line="600" w:lineRule="exact"/>
        <w:ind w:firstLine="640" w:firstLineChars="200"/>
        <w:jc w:val="both"/>
        <w:rPr>
          <w:rFonts w:hint="default" w:ascii="Times New Roman" w:hAnsi="Times New Roman" w:eastAsia="黑体" w:cs="Times New Roman"/>
          <w:bCs/>
          <w:color w:val="auto"/>
          <w:kern w:val="2"/>
          <w:sz w:val="32"/>
          <w:szCs w:val="32"/>
          <w:lang w:val="en-US" w:eastAsia="zh-CN" w:bidi="ar-SA"/>
        </w:rPr>
      </w:pPr>
      <w:r>
        <w:rPr>
          <w:rFonts w:hint="eastAsia" w:ascii="Times New Roman" w:hAnsi="Times New Roman" w:eastAsia="黑体" w:cs="Times New Roman"/>
          <w:bCs/>
          <w:color w:val="auto"/>
          <w:kern w:val="2"/>
          <w:sz w:val="32"/>
          <w:szCs w:val="32"/>
          <w:lang w:val="en-US" w:eastAsia="zh-CN" w:bidi="ar-SA"/>
        </w:rPr>
        <w:t>一、技术概述</w:t>
      </w:r>
    </w:p>
    <w:p>
      <w:pPr>
        <w:pStyle w:val="14"/>
        <w:widowControl w:val="0"/>
        <w:spacing w:before="0" w:beforeAutospacing="0" w:after="0" w:afterAutospacing="0" w:line="600" w:lineRule="exact"/>
        <w:ind w:firstLine="642" w:firstLineChars="200"/>
        <w:jc w:val="both"/>
        <w:rPr>
          <w:rFonts w:hint="eastAsia" w:ascii="仿宋_GB2312" w:hAnsi="仿宋_GB2312" w:eastAsia="仿宋_GB2312" w:cs="仿宋_GB2312"/>
          <w:b w:val="0"/>
          <w:bCs w:val="0"/>
          <w:color w:val="000000"/>
          <w:sz w:val="32"/>
          <w:szCs w:val="32"/>
        </w:rPr>
      </w:pPr>
      <w:r>
        <w:rPr>
          <w:rFonts w:hint="eastAsia" w:ascii="楷体_GB2312" w:hAnsi="楷体_GB2312" w:eastAsia="楷体_GB2312" w:cs="楷体_GB2312"/>
          <w:b/>
          <w:bCs/>
          <w:color w:val="auto"/>
          <w:kern w:val="2"/>
          <w:sz w:val="32"/>
          <w:szCs w:val="32"/>
          <w:lang w:val="en-US" w:eastAsia="zh-CN" w:bidi="ar-SA"/>
        </w:rPr>
        <w:t>（一）基本情况</w:t>
      </w:r>
    </w:p>
    <w:p>
      <w:pPr>
        <w:spacing w:line="600" w:lineRule="exact"/>
        <w:ind w:firstLine="640" w:firstLineChars="200"/>
        <w:rPr>
          <w:rFonts w:hint="eastAsia" w:ascii="仿宋_GB2312" w:hAnsi="仿宋_GB2312" w:eastAsia="仿宋_GB2312" w:cs="仿宋_GB2312"/>
          <w:lang w:eastAsia="zh-CN"/>
        </w:rPr>
      </w:pPr>
      <w:r>
        <w:rPr>
          <w:rFonts w:hint="eastAsia" w:ascii="仿宋_GB2312" w:hAnsi="仿宋_GB2312" w:eastAsia="仿宋_GB2312" w:cs="仿宋_GB2312"/>
          <w:sz w:val="32"/>
          <w:szCs w:val="32"/>
        </w:rPr>
        <w:t>粮油生产安全及单产提升行动被列为我省农业重点工作任务之一。种子是传播病虫害的重要载体，容易遭受土壤中有害生物的侵袭。药剂拌种是农药减量增效的绿色防控代表性技术，靶标精准施药，拌种用药量低，缓释高效持效，省工省药省种，地下地上病虫兼治，可提高种子出苗率和抗寒抗旱等抗逆能力，促进生根发芽、齐苗壮苗。因此，通过推广药剂拌种技术，将病虫害防控关口前移，源头保障粮油生产安全，争取全年粮油丰收的主动权，减轻后期防治压力，减少后期用药次数和农药用量，是实现农药减量增效的重要抓手。</w:t>
      </w:r>
    </w:p>
    <w:p>
      <w:pPr>
        <w:pStyle w:val="14"/>
        <w:widowControl w:val="0"/>
        <w:numPr>
          <w:ilvl w:val="0"/>
          <w:numId w:val="1"/>
        </w:numPr>
        <w:spacing w:before="0" w:beforeAutospacing="0" w:after="0" w:afterAutospacing="0" w:line="600" w:lineRule="exact"/>
        <w:ind w:firstLine="642" w:firstLineChars="200"/>
        <w:jc w:val="both"/>
        <w:rPr>
          <w:rFonts w:hint="eastAsia" w:ascii="仿宋_GB2312" w:hAnsi="仿宋_GB2312" w:eastAsia="仿宋_GB2312" w:cs="仿宋_GB2312"/>
          <w:b/>
          <w:bCs/>
          <w:color w:val="000000"/>
          <w:sz w:val="32"/>
          <w:szCs w:val="32"/>
        </w:rPr>
      </w:pPr>
      <w:r>
        <w:rPr>
          <w:rFonts w:hint="eastAsia" w:ascii="楷体_GB2312" w:hAnsi="楷体_GB2312" w:eastAsia="楷体_GB2312" w:cs="楷体_GB2312"/>
          <w:b/>
          <w:bCs/>
          <w:color w:val="auto"/>
          <w:kern w:val="2"/>
          <w:sz w:val="32"/>
          <w:szCs w:val="32"/>
          <w:lang w:val="en-US" w:eastAsia="zh-CN" w:bidi="ar-SA"/>
        </w:rPr>
        <w:t>推广应用情况</w:t>
      </w:r>
    </w:p>
    <w:p>
      <w:pPr>
        <w:pStyle w:val="14"/>
        <w:widowControl w:val="0"/>
        <w:spacing w:before="0" w:beforeAutospacing="0" w:after="0" w:afterAutospacing="0" w:line="600" w:lineRule="exact"/>
        <w:ind w:firstLine="640" w:firstLineChars="200"/>
        <w:jc w:val="both"/>
        <w:rPr>
          <w:rFonts w:hint="eastAsia" w:ascii="仿宋_GB2312" w:hAnsi="仿宋_GB2312" w:eastAsia="仿宋_GB2312" w:cs="仿宋_GB2312"/>
          <w:kern w:val="2"/>
          <w:sz w:val="32"/>
          <w:szCs w:val="32"/>
        </w:rPr>
      </w:pPr>
      <w:r>
        <w:rPr>
          <w:rFonts w:hint="eastAsia" w:ascii="仿宋_GB2312" w:hAnsi="仿宋_GB2312" w:eastAsia="仿宋_GB2312" w:cs="仿宋_GB2312"/>
          <w:kern w:val="2"/>
          <w:sz w:val="32"/>
          <w:szCs w:val="32"/>
          <w:lang w:eastAsia="zh-CN"/>
        </w:rPr>
        <w:t>至</w:t>
      </w:r>
      <w:r>
        <w:rPr>
          <w:rFonts w:hint="eastAsia" w:ascii="仿宋_GB2312" w:hAnsi="仿宋_GB2312" w:eastAsia="仿宋_GB2312" w:cs="仿宋_GB2312"/>
          <w:kern w:val="2"/>
          <w:sz w:val="32"/>
          <w:szCs w:val="32"/>
        </w:rPr>
        <w:t>202</w:t>
      </w:r>
      <w:r>
        <w:rPr>
          <w:rFonts w:hint="eastAsia" w:ascii="仿宋_GB2312" w:hAnsi="仿宋_GB2312" w:eastAsia="仿宋_GB2312" w:cs="仿宋_GB2312"/>
          <w:kern w:val="2"/>
          <w:sz w:val="32"/>
          <w:szCs w:val="32"/>
          <w:lang w:val="en-US" w:eastAsia="zh-CN"/>
        </w:rPr>
        <w:t>3</w:t>
      </w:r>
      <w:r>
        <w:rPr>
          <w:rFonts w:hint="eastAsia" w:ascii="仿宋_GB2312" w:hAnsi="仿宋_GB2312" w:eastAsia="仿宋_GB2312" w:cs="仿宋_GB2312"/>
          <w:kern w:val="2"/>
          <w:sz w:val="32"/>
          <w:szCs w:val="32"/>
        </w:rPr>
        <w:t>年</w:t>
      </w:r>
      <w:r>
        <w:rPr>
          <w:rFonts w:hint="eastAsia" w:ascii="仿宋_GB2312" w:hAnsi="仿宋_GB2312" w:eastAsia="仿宋_GB2312" w:cs="仿宋_GB2312"/>
          <w:kern w:val="2"/>
          <w:sz w:val="32"/>
          <w:szCs w:val="32"/>
          <w:lang w:eastAsia="zh-CN"/>
        </w:rPr>
        <w:t>，</w:t>
      </w:r>
      <w:r>
        <w:rPr>
          <w:rFonts w:hint="eastAsia" w:ascii="仿宋_GB2312" w:hAnsi="仿宋_GB2312" w:eastAsia="仿宋_GB2312" w:cs="仿宋_GB2312"/>
          <w:kern w:val="2"/>
          <w:sz w:val="32"/>
          <w:szCs w:val="32"/>
        </w:rPr>
        <w:t>我省</w:t>
      </w:r>
      <w:r>
        <w:rPr>
          <w:rFonts w:hint="eastAsia" w:ascii="仿宋_GB2312" w:hAnsi="仿宋_GB2312" w:eastAsia="仿宋_GB2312" w:cs="仿宋_GB2312"/>
          <w:kern w:val="2"/>
          <w:sz w:val="32"/>
          <w:szCs w:val="32"/>
          <w:lang w:eastAsia="zh-CN"/>
        </w:rPr>
        <w:t>主要粮油药剂拌种面积达</w:t>
      </w:r>
      <w:r>
        <w:rPr>
          <w:rFonts w:hint="eastAsia" w:ascii="仿宋_GB2312" w:hAnsi="仿宋_GB2312" w:eastAsia="仿宋_GB2312" w:cs="仿宋_GB2312"/>
          <w:kern w:val="2"/>
          <w:sz w:val="32"/>
          <w:szCs w:val="32"/>
          <w:lang w:val="en-US" w:eastAsia="zh-CN"/>
        </w:rPr>
        <w:t>2505万亩，其中</w:t>
      </w:r>
      <w:r>
        <w:rPr>
          <w:rFonts w:hint="eastAsia" w:ascii="仿宋_GB2312" w:hAnsi="仿宋_GB2312" w:eastAsia="仿宋_GB2312" w:cs="仿宋_GB2312"/>
          <w:kern w:val="2"/>
          <w:sz w:val="32"/>
          <w:szCs w:val="32"/>
        </w:rPr>
        <w:t>在水</w:t>
      </w:r>
      <w:r>
        <w:rPr>
          <w:rFonts w:hint="eastAsia" w:ascii="仿宋_GB2312" w:hAnsi="仿宋_GB2312" w:eastAsia="仿宋_GB2312" w:cs="仿宋_GB2312"/>
          <w:kern w:val="2"/>
          <w:sz w:val="32"/>
          <w:szCs w:val="32"/>
          <w:lang w:eastAsia="zh-CN"/>
        </w:rPr>
        <w:t>稻448.32万亩、玉米</w:t>
      </w:r>
      <w:r>
        <w:rPr>
          <w:rFonts w:hint="eastAsia" w:ascii="仿宋_GB2312" w:hAnsi="仿宋_GB2312" w:eastAsia="仿宋_GB2312" w:cs="仿宋_GB2312"/>
          <w:kern w:val="2"/>
          <w:sz w:val="32"/>
          <w:szCs w:val="32"/>
          <w:lang w:val="en-US" w:eastAsia="zh-CN"/>
        </w:rPr>
        <w:t>665.37万亩</w:t>
      </w:r>
      <w:r>
        <w:rPr>
          <w:rFonts w:hint="eastAsia" w:ascii="仿宋_GB2312" w:hAnsi="仿宋_GB2312" w:eastAsia="仿宋_GB2312" w:cs="仿宋_GB2312"/>
          <w:kern w:val="2"/>
          <w:sz w:val="32"/>
          <w:szCs w:val="32"/>
          <w:lang w:eastAsia="zh-CN"/>
        </w:rPr>
        <w:t>、小麦</w:t>
      </w:r>
      <w:r>
        <w:rPr>
          <w:rFonts w:hint="eastAsia" w:ascii="仿宋_GB2312" w:hAnsi="仿宋_GB2312" w:eastAsia="仿宋_GB2312" w:cs="仿宋_GB2312"/>
          <w:kern w:val="2"/>
          <w:sz w:val="32"/>
          <w:szCs w:val="32"/>
          <w:lang w:val="en-US" w:eastAsia="zh-CN"/>
        </w:rPr>
        <w:t>104.91万亩</w:t>
      </w:r>
      <w:r>
        <w:rPr>
          <w:rFonts w:hint="eastAsia" w:ascii="仿宋_GB2312" w:hAnsi="仿宋_GB2312" w:eastAsia="仿宋_GB2312" w:cs="仿宋_GB2312"/>
          <w:kern w:val="2"/>
          <w:sz w:val="32"/>
          <w:szCs w:val="32"/>
        </w:rPr>
        <w:t>、</w:t>
      </w:r>
      <w:r>
        <w:rPr>
          <w:rFonts w:hint="eastAsia" w:ascii="仿宋_GB2312" w:hAnsi="仿宋_GB2312" w:eastAsia="仿宋_GB2312" w:cs="仿宋_GB2312"/>
          <w:kern w:val="2"/>
          <w:sz w:val="32"/>
          <w:szCs w:val="32"/>
          <w:lang w:eastAsia="zh-CN"/>
        </w:rPr>
        <w:t>大豆</w:t>
      </w:r>
      <w:r>
        <w:rPr>
          <w:rFonts w:hint="eastAsia" w:ascii="仿宋_GB2312" w:hAnsi="仿宋_GB2312" w:eastAsia="仿宋_GB2312" w:cs="仿宋_GB2312"/>
          <w:kern w:val="2"/>
          <w:sz w:val="32"/>
          <w:szCs w:val="32"/>
          <w:lang w:val="en-US" w:eastAsia="zh-CN"/>
        </w:rPr>
        <w:t>94.97万亩</w:t>
      </w:r>
      <w:r>
        <w:rPr>
          <w:rFonts w:hint="eastAsia" w:ascii="仿宋_GB2312" w:hAnsi="仿宋_GB2312" w:eastAsia="仿宋_GB2312" w:cs="仿宋_GB2312"/>
          <w:kern w:val="2"/>
          <w:sz w:val="32"/>
          <w:szCs w:val="32"/>
          <w:lang w:eastAsia="zh-CN"/>
        </w:rPr>
        <w:t>、马铃薯</w:t>
      </w:r>
      <w:r>
        <w:rPr>
          <w:rFonts w:hint="eastAsia" w:ascii="仿宋_GB2312" w:hAnsi="仿宋_GB2312" w:eastAsia="仿宋_GB2312" w:cs="仿宋_GB2312"/>
          <w:kern w:val="2"/>
          <w:sz w:val="32"/>
          <w:szCs w:val="32"/>
          <w:lang w:val="en-US" w:eastAsia="zh-CN"/>
        </w:rPr>
        <w:t>305.25万亩、</w:t>
      </w:r>
      <w:r>
        <w:rPr>
          <w:rFonts w:hint="eastAsia" w:ascii="仿宋_GB2312" w:hAnsi="仿宋_GB2312" w:eastAsia="仿宋_GB2312" w:cs="仿宋_GB2312"/>
          <w:kern w:val="2"/>
          <w:sz w:val="32"/>
          <w:szCs w:val="32"/>
          <w:lang w:eastAsia="zh-CN"/>
        </w:rPr>
        <w:t>油菜</w:t>
      </w:r>
      <w:r>
        <w:rPr>
          <w:rFonts w:hint="eastAsia" w:ascii="仿宋_GB2312" w:hAnsi="仿宋_GB2312" w:eastAsia="仿宋_GB2312" w:cs="仿宋_GB2312"/>
          <w:kern w:val="2"/>
          <w:sz w:val="32"/>
          <w:szCs w:val="32"/>
          <w:lang w:val="en-US" w:eastAsia="zh-CN"/>
        </w:rPr>
        <w:t>324.08万亩，</w:t>
      </w:r>
      <w:r>
        <w:rPr>
          <w:rFonts w:hint="eastAsia" w:ascii="仿宋_GB2312" w:hAnsi="仿宋_GB2312" w:eastAsia="仿宋_GB2312" w:cs="仿宋_GB2312"/>
          <w:kern w:val="2"/>
          <w:sz w:val="32"/>
          <w:szCs w:val="32"/>
        </w:rPr>
        <w:t>减少大田施药2-3次，实现家(厂）里拌种、田间长效治虫防病。</w:t>
      </w:r>
    </w:p>
    <w:p>
      <w:pPr>
        <w:pStyle w:val="14"/>
        <w:widowControl w:val="0"/>
        <w:spacing w:before="0" w:beforeAutospacing="0" w:after="0" w:afterAutospacing="0" w:line="600" w:lineRule="exact"/>
        <w:ind w:firstLine="642" w:firstLineChars="200"/>
        <w:jc w:val="both"/>
        <w:rPr>
          <w:rFonts w:ascii="仿宋" w:hAnsi="仿宋" w:eastAsia="仿宋"/>
          <w:color w:val="000000"/>
          <w:sz w:val="32"/>
          <w:szCs w:val="32"/>
        </w:rPr>
      </w:pPr>
      <w:r>
        <w:rPr>
          <w:rFonts w:hint="eastAsia" w:ascii="楷体_GB2312" w:hAnsi="楷体_GB2312" w:eastAsia="楷体_GB2312" w:cs="楷体_GB2312"/>
          <w:b/>
          <w:bCs/>
          <w:color w:val="auto"/>
          <w:kern w:val="2"/>
          <w:sz w:val="32"/>
          <w:szCs w:val="32"/>
          <w:lang w:val="en-US" w:eastAsia="zh-CN" w:bidi="ar-SA"/>
        </w:rPr>
        <w:t>（三）提质增效情况</w:t>
      </w:r>
    </w:p>
    <w:p>
      <w:pPr>
        <w:spacing w:line="600" w:lineRule="exact"/>
        <w:ind w:firstLine="640" w:firstLineChars="200"/>
        <w:rPr>
          <w:rFonts w:hint="eastAsia" w:ascii="仿宋_GB2312" w:hAnsi="仿宋_GB2312" w:eastAsia="仿宋_GB2312" w:cs="仿宋_GB2312"/>
          <w:color w:val="000000"/>
          <w:kern w:val="0"/>
          <w:sz w:val="32"/>
          <w:szCs w:val="32"/>
          <w:lang w:val="en-US" w:eastAsia="zh-CN" w:bidi="ar-SA"/>
        </w:rPr>
      </w:pPr>
      <w:r>
        <w:rPr>
          <w:rFonts w:hint="eastAsia" w:ascii="仿宋_GB2312" w:hAnsi="仿宋_GB2312" w:eastAsia="仿宋_GB2312" w:cs="仿宋_GB2312"/>
          <w:color w:val="000000"/>
          <w:kern w:val="0"/>
          <w:sz w:val="32"/>
          <w:szCs w:val="32"/>
          <w:lang w:val="en-US" w:eastAsia="zh-CN" w:bidi="ar-SA"/>
        </w:rPr>
        <w:t>通过近年大面积示范水稻、玉米、小麦、大豆、油菜等作物药剂拌种减药增效技术，与和常规“白籽”播种相比，可增产10%以上，减少化学农药20%以上。如都匀市、湄潭县2024年示范应用水稻药剂拌种技术，秧田期的稻瘟病、恶苗病、立枯病等发生较轻，药剂拌种示范区对秧田期病虫害的防控效果达90%以上，</w:t>
      </w:r>
      <w:r>
        <w:rPr>
          <w:rFonts w:hint="eastAsia" w:ascii="仿宋_GB2312" w:hAnsi="仿宋_GB2312" w:eastAsia="仿宋_GB2312" w:cs="仿宋_GB2312"/>
          <w:color w:val="000000"/>
          <w:kern w:val="0"/>
          <w:sz w:val="32"/>
          <w:szCs w:val="32"/>
          <w:lang w:val="zh-CN" w:eastAsia="zh-CN" w:bidi="ar-SA"/>
        </w:rPr>
        <w:t>示范区通过</w:t>
      </w:r>
      <w:r>
        <w:rPr>
          <w:rFonts w:hint="eastAsia" w:ascii="仿宋_GB2312" w:hAnsi="仿宋_GB2312" w:eastAsia="仿宋_GB2312" w:cs="仿宋_GB2312"/>
          <w:color w:val="000000"/>
          <w:kern w:val="0"/>
          <w:sz w:val="32"/>
          <w:szCs w:val="32"/>
          <w:lang w:val="en-US" w:eastAsia="zh-CN" w:bidi="ar-SA"/>
        </w:rPr>
        <w:t>实施</w:t>
      </w:r>
      <w:r>
        <w:rPr>
          <w:rFonts w:hint="eastAsia" w:ascii="仿宋_GB2312" w:hAnsi="仿宋_GB2312" w:eastAsia="仿宋_GB2312" w:cs="仿宋_GB2312"/>
          <w:color w:val="000000"/>
          <w:kern w:val="0"/>
          <w:sz w:val="32"/>
          <w:szCs w:val="32"/>
          <w:lang w:val="zh-CN" w:eastAsia="zh-CN" w:bidi="ar-SA"/>
        </w:rPr>
        <w:t>药剂拌种</w:t>
      </w:r>
      <w:r>
        <w:rPr>
          <w:rFonts w:hint="eastAsia" w:ascii="仿宋_GB2312" w:hAnsi="仿宋_GB2312" w:eastAsia="仿宋_GB2312" w:cs="仿宋_GB2312"/>
          <w:color w:val="000000"/>
          <w:kern w:val="0"/>
          <w:sz w:val="32"/>
          <w:szCs w:val="32"/>
          <w:lang w:val="en-US" w:eastAsia="zh-CN" w:bidi="ar-SA"/>
        </w:rPr>
        <w:t>技术</w:t>
      </w:r>
      <w:r>
        <w:rPr>
          <w:rFonts w:hint="eastAsia" w:ascii="仿宋_GB2312" w:hAnsi="仿宋_GB2312" w:eastAsia="仿宋_GB2312" w:cs="仿宋_GB2312"/>
          <w:color w:val="000000"/>
          <w:kern w:val="0"/>
          <w:sz w:val="32"/>
          <w:szCs w:val="32"/>
          <w:lang w:val="zh-CN" w:eastAsia="zh-CN" w:bidi="ar-SA"/>
        </w:rPr>
        <w:t>，</w:t>
      </w:r>
      <w:r>
        <w:rPr>
          <w:rFonts w:hint="eastAsia" w:ascii="仿宋_GB2312" w:hAnsi="仿宋_GB2312" w:eastAsia="仿宋_GB2312" w:cs="仿宋_GB2312"/>
          <w:color w:val="000000"/>
          <w:kern w:val="0"/>
          <w:sz w:val="32"/>
          <w:szCs w:val="32"/>
          <w:lang w:val="en-US" w:eastAsia="zh-CN" w:bidi="ar-SA"/>
        </w:rPr>
        <w:t>结合大田期</w:t>
      </w:r>
      <w:r>
        <w:rPr>
          <w:rFonts w:hint="eastAsia" w:ascii="仿宋_GB2312" w:hAnsi="仿宋_GB2312" w:eastAsia="仿宋_GB2312" w:cs="仿宋_GB2312"/>
          <w:color w:val="000000"/>
          <w:kern w:val="0"/>
          <w:sz w:val="32"/>
          <w:szCs w:val="32"/>
          <w:lang w:val="zh-CN" w:eastAsia="zh-CN" w:bidi="ar-SA"/>
        </w:rPr>
        <w:t>应用生态调控、免疫诱抗、生物农药等绿色防控技术，</w:t>
      </w:r>
      <w:r>
        <w:rPr>
          <w:rFonts w:hint="eastAsia" w:ascii="仿宋_GB2312" w:hAnsi="仿宋_GB2312" w:eastAsia="仿宋_GB2312" w:cs="仿宋_GB2312"/>
          <w:color w:val="000000"/>
          <w:kern w:val="0"/>
          <w:sz w:val="32"/>
          <w:szCs w:val="32"/>
          <w:lang w:val="en-US" w:eastAsia="zh-CN" w:bidi="ar-SA"/>
        </w:rPr>
        <w:t>示范区较农民自防区减少施药施药2.1次，总用药量减少30.15%，化学农药用量减少69.80%。</w:t>
      </w:r>
      <w:r>
        <w:rPr>
          <w:rFonts w:hint="eastAsia" w:ascii="仿宋_GB2312" w:hAnsi="仿宋_GB2312" w:eastAsia="仿宋_GB2312" w:cs="仿宋_GB2312"/>
          <w:color w:val="000000"/>
          <w:kern w:val="0"/>
          <w:sz w:val="32"/>
          <w:szCs w:val="32"/>
          <w:lang w:val="zh-CN" w:eastAsia="zh-CN" w:bidi="ar-SA"/>
        </w:rPr>
        <w:t>示范区总体防控效果达</w:t>
      </w:r>
      <w:r>
        <w:rPr>
          <w:rFonts w:hint="eastAsia" w:ascii="仿宋_GB2312" w:hAnsi="仿宋_GB2312" w:eastAsia="仿宋_GB2312" w:cs="仿宋_GB2312"/>
          <w:color w:val="000000"/>
          <w:kern w:val="0"/>
          <w:sz w:val="32"/>
          <w:szCs w:val="32"/>
          <w:lang w:val="en-US" w:eastAsia="zh-CN" w:bidi="ar-SA"/>
        </w:rPr>
        <w:t>86.73</w:t>
      </w:r>
      <w:r>
        <w:rPr>
          <w:rFonts w:hint="eastAsia" w:ascii="仿宋_GB2312" w:hAnsi="仿宋_GB2312" w:eastAsia="仿宋_GB2312" w:cs="仿宋_GB2312"/>
          <w:color w:val="000000"/>
          <w:kern w:val="0"/>
          <w:sz w:val="32"/>
          <w:szCs w:val="32"/>
          <w:lang w:val="zh-CN" w:eastAsia="zh-CN" w:bidi="ar-SA"/>
        </w:rPr>
        <w:t>%，较农民自防区高</w:t>
      </w:r>
      <w:r>
        <w:rPr>
          <w:rFonts w:hint="eastAsia" w:ascii="仿宋_GB2312" w:hAnsi="仿宋_GB2312" w:eastAsia="仿宋_GB2312" w:cs="仿宋_GB2312"/>
          <w:color w:val="000000"/>
          <w:kern w:val="0"/>
          <w:sz w:val="32"/>
          <w:szCs w:val="32"/>
          <w:lang w:val="en-US" w:eastAsia="zh-CN" w:bidi="ar-SA"/>
        </w:rPr>
        <w:t>11.6</w:t>
      </w:r>
      <w:r>
        <w:rPr>
          <w:rFonts w:hint="eastAsia" w:ascii="仿宋_GB2312" w:hAnsi="仿宋_GB2312" w:eastAsia="仿宋_GB2312" w:cs="仿宋_GB2312"/>
          <w:color w:val="000000"/>
          <w:kern w:val="0"/>
          <w:sz w:val="32"/>
          <w:szCs w:val="32"/>
          <w:lang w:val="zh-CN" w:eastAsia="zh-CN" w:bidi="ar-SA"/>
        </w:rPr>
        <w:t>个百分点</w:t>
      </w:r>
      <w:r>
        <w:rPr>
          <w:rFonts w:hint="eastAsia" w:ascii="仿宋_GB2312" w:hAnsi="仿宋_GB2312" w:eastAsia="仿宋_GB2312" w:cs="仿宋_GB2312"/>
          <w:color w:val="000000"/>
          <w:kern w:val="0"/>
          <w:sz w:val="32"/>
          <w:szCs w:val="32"/>
          <w:lang w:val="en-US" w:eastAsia="zh-CN" w:bidi="ar-SA"/>
        </w:rPr>
        <w:t>。</w:t>
      </w:r>
    </w:p>
    <w:p>
      <w:pPr>
        <w:pStyle w:val="14"/>
        <w:widowControl w:val="0"/>
        <w:spacing w:before="0" w:beforeAutospacing="0" w:after="0" w:afterAutospacing="0" w:line="600" w:lineRule="exact"/>
        <w:ind w:firstLine="642" w:firstLineChars="200"/>
        <w:jc w:val="both"/>
        <w:rPr>
          <w:rFonts w:hint="eastAsia" w:ascii="仿宋_GB2312" w:hAnsi="仿宋_GB2312" w:eastAsia="仿宋_GB2312" w:cs="仿宋_GB2312"/>
          <w:color w:val="000000"/>
          <w:sz w:val="32"/>
          <w:szCs w:val="32"/>
        </w:rPr>
      </w:pPr>
      <w:r>
        <w:rPr>
          <w:rFonts w:hint="eastAsia" w:ascii="楷体_GB2312" w:hAnsi="楷体_GB2312" w:eastAsia="楷体_GB2312" w:cs="楷体_GB2312"/>
          <w:b/>
          <w:bCs/>
          <w:color w:val="auto"/>
          <w:kern w:val="2"/>
          <w:sz w:val="32"/>
          <w:szCs w:val="32"/>
          <w:lang w:val="en-US" w:eastAsia="zh-CN" w:bidi="ar-SA"/>
        </w:rPr>
        <w:t>（四）技术获奖情况</w:t>
      </w:r>
    </w:p>
    <w:p>
      <w:pPr>
        <w:spacing w:line="60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2019年以来，贵州省植保植检站参与《贵州稻水象甲疫情监测及综合防控技术的集成创新与应用》项目获省科技进步二等奖。其中药剂拌种是关键技术之一。</w:t>
      </w:r>
    </w:p>
    <w:p>
      <w:pPr>
        <w:pStyle w:val="14"/>
        <w:widowControl w:val="0"/>
        <w:numPr>
          <w:ilvl w:val="0"/>
          <w:numId w:val="0"/>
        </w:numPr>
        <w:spacing w:before="0" w:beforeAutospacing="0" w:after="0" w:afterAutospacing="0" w:line="600" w:lineRule="exact"/>
        <w:ind w:firstLine="640" w:firstLineChars="200"/>
        <w:jc w:val="both"/>
        <w:rPr>
          <w:rFonts w:hint="eastAsia" w:ascii="仿宋_GB2312" w:hAnsi="仿宋_GB2312" w:eastAsia="仿宋_GB2312" w:cs="仿宋_GB2312"/>
          <w:color w:val="000000"/>
          <w:sz w:val="32"/>
          <w:szCs w:val="32"/>
        </w:rPr>
      </w:pPr>
      <w:r>
        <w:rPr>
          <w:rFonts w:hint="eastAsia" w:ascii="黑体" w:hAnsi="黑体" w:eastAsia="黑体" w:cs="黑体"/>
          <w:b w:val="0"/>
          <w:bCs w:val="0"/>
          <w:color w:val="000000"/>
          <w:sz w:val="32"/>
          <w:szCs w:val="32"/>
          <w:lang w:eastAsia="zh-CN"/>
        </w:rPr>
        <w:t>二、</w:t>
      </w:r>
      <w:r>
        <w:rPr>
          <w:rFonts w:hint="eastAsia" w:ascii="黑体" w:hAnsi="黑体" w:eastAsia="黑体" w:cs="黑体"/>
          <w:b w:val="0"/>
          <w:bCs w:val="0"/>
          <w:color w:val="000000"/>
          <w:sz w:val="32"/>
          <w:szCs w:val="32"/>
        </w:rPr>
        <w:t>技术要点</w:t>
      </w:r>
    </w:p>
    <w:p>
      <w:pPr>
        <w:spacing w:line="600" w:lineRule="exact"/>
        <w:ind w:firstLine="642" w:firstLineChars="200"/>
        <w:rPr>
          <w:rFonts w:hint="eastAsia" w:ascii="楷体_GB2312" w:hAnsi="楷体_GB2312" w:eastAsia="楷体_GB2312" w:cs="楷体_GB2312"/>
          <w:b/>
          <w:bCs/>
          <w:color w:val="auto"/>
          <w:kern w:val="2"/>
          <w:sz w:val="32"/>
          <w:szCs w:val="32"/>
          <w:lang w:val="en-US" w:eastAsia="zh-CN" w:bidi="ar-SA"/>
        </w:rPr>
      </w:pPr>
      <w:r>
        <w:rPr>
          <w:rFonts w:hint="eastAsia" w:ascii="楷体_GB2312" w:hAnsi="楷体_GB2312" w:eastAsia="楷体_GB2312" w:cs="楷体_GB2312"/>
          <w:b/>
          <w:bCs/>
          <w:color w:val="auto"/>
          <w:kern w:val="2"/>
          <w:sz w:val="32"/>
          <w:szCs w:val="32"/>
          <w:lang w:val="en-US" w:eastAsia="zh-CN" w:bidi="ar-SA"/>
        </w:rPr>
        <w:t>（一）水稻药剂拌种技术</w:t>
      </w:r>
    </w:p>
    <w:p>
      <w:pPr>
        <w:spacing w:line="600" w:lineRule="exact"/>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1.预防稻瘟病（苗瘟、叶瘟）、恶苗病、烂秧和立枯病，按每公斤干稻种选用24.1%肟菌•异噻胺种子处理悬浮剂15-20毫升、或11%氟环•咯•精甲种子处理悬浮剂3-4毫升、或25%噻•咯•霜灵悬浮种衣剂4-6毫升（兼治蓟马）、或12%甲•嘧•甲霜灵悬浮种衣剂10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rPr>
        <w:t>或</w:t>
      </w:r>
      <w:r>
        <w:rPr>
          <w:rFonts w:hint="eastAsia" w:ascii="仿宋_GB2312" w:hAnsi="仿宋_GB2312" w:eastAsia="仿宋_GB2312" w:cs="仿宋_GB2312"/>
          <w:color w:val="0C0C0C"/>
          <w:sz w:val="32"/>
          <w:szCs w:val="32"/>
          <w:lang w:val="en-US" w:eastAsia="zh-CN"/>
        </w:rPr>
        <w:t>10%精甲•戊•嘧菌悬浮种衣剂20-30克、或4.23%甲霜•种菌唑微乳剂10-15毫升、</w:t>
      </w:r>
      <w:r>
        <w:rPr>
          <w:rFonts w:hint="eastAsia" w:ascii="仿宋_GB2312" w:hAnsi="仿宋_GB2312" w:eastAsia="仿宋_GB2312" w:cs="仿宋_GB2312"/>
          <w:color w:val="0C0C0C"/>
          <w:sz w:val="32"/>
          <w:szCs w:val="32"/>
        </w:rPr>
        <w:t>加上0.136%赤•吲乙•芸苔可湿性粉剂1克、或5%氨基寡糖素水剂10毫升，兑水5毫升，混合均匀，配制成浆状药液。</w:t>
      </w:r>
    </w:p>
    <w:p>
      <w:pPr>
        <w:spacing w:line="600" w:lineRule="exact"/>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2.预防稻飞虱（南方水稻黑条矮缩病）、稻水象甲、稻蓟马等。按每公斤干稻种选用600克/升吡虫啉悬浮种衣剂4毫升、或18%噻虫胺种子处理悬浮剂5-9毫升，加上0.136%赤•吲乙•芸苔可湿性粉剂1克、或5%氨基寡糖素水剂10毫升，兑水5毫升，混合均匀，配制成浆状药液。</w:t>
      </w:r>
    </w:p>
    <w:p>
      <w:pPr>
        <w:spacing w:line="600" w:lineRule="exact"/>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3.拌种方法可采用干种子拌种或催芽露白种子拌种，干种子拌种在水稻浸种前2天进行，催芽露白种子拌种在水稻种子催芽露白后进行，将配制好的浆状药液与种子充分搅拌混合，使药液均匀分布在种子上，彻底阴干后，按常规方法进行浸种、催芽或播种。</w:t>
      </w:r>
    </w:p>
    <w:p>
      <w:pPr>
        <w:spacing w:line="600" w:lineRule="exact"/>
        <w:ind w:firstLine="642" w:firstLineChars="200"/>
        <w:rPr>
          <w:rFonts w:hint="eastAsia" w:ascii="楷体_GB2312" w:hAnsi="楷体_GB2312" w:eastAsia="楷体_GB2312" w:cs="楷体_GB2312"/>
          <w:b/>
          <w:bCs/>
          <w:color w:val="auto"/>
          <w:kern w:val="2"/>
          <w:sz w:val="32"/>
          <w:szCs w:val="32"/>
          <w:lang w:val="en-US" w:eastAsia="zh-CN" w:bidi="ar-SA"/>
        </w:rPr>
      </w:pPr>
      <w:r>
        <w:rPr>
          <w:rFonts w:hint="eastAsia" w:ascii="楷体_GB2312" w:hAnsi="楷体_GB2312" w:eastAsia="楷体_GB2312" w:cs="楷体_GB2312"/>
          <w:b/>
          <w:bCs/>
          <w:color w:val="auto"/>
          <w:kern w:val="2"/>
          <w:sz w:val="32"/>
          <w:szCs w:val="32"/>
          <w:lang w:val="en-US" w:eastAsia="zh-CN" w:bidi="ar-SA"/>
        </w:rPr>
        <w:t>（二）小麦药剂拌种技术</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1.预防小麦黑穗病、蚜虫等。按10公斤干麦种选用32%戊唑•吡虫啉种子处理悬浮剂30-50毫升、或27%苯醚•咯•噻虫悬浮种衣剂20-60毫升、或35%苯醚•咯•噻虫种子处理悬浮剂25-50毫升，</w:t>
      </w:r>
      <w:r>
        <w:rPr>
          <w:rFonts w:hint="eastAsia" w:ascii="仿宋_GB2312" w:hAnsi="仿宋_GB2312" w:eastAsia="仿宋_GB2312" w:cs="仿宋_GB2312"/>
          <w:color w:val="0C0C0C"/>
          <w:sz w:val="32"/>
          <w:szCs w:val="32"/>
          <w:lang w:val="en-US" w:eastAsia="zh-CN"/>
        </w:rPr>
        <w:t>或23%吡虫</w:t>
      </w:r>
      <w:r>
        <w:rPr>
          <w:rFonts w:hint="eastAsia" w:ascii="仿宋_GB2312" w:hAnsi="仿宋_GB2312" w:eastAsia="仿宋_GB2312" w:cs="仿宋_GB2312"/>
          <w:color w:val="0C0C0C"/>
          <w:sz w:val="32"/>
          <w:szCs w:val="32"/>
        </w:rPr>
        <w:t>•</w:t>
      </w:r>
      <w:r>
        <w:rPr>
          <w:rFonts w:hint="eastAsia" w:ascii="仿宋_GB2312" w:hAnsi="仿宋_GB2312" w:eastAsia="仿宋_GB2312" w:cs="仿宋_GB2312"/>
          <w:color w:val="0C0C0C"/>
          <w:sz w:val="32"/>
          <w:szCs w:val="32"/>
          <w:lang w:val="en-US" w:eastAsia="zh-CN"/>
        </w:rPr>
        <w:t>咯</w:t>
      </w:r>
      <w:r>
        <w:rPr>
          <w:rFonts w:hint="eastAsia" w:ascii="仿宋_GB2312" w:hAnsi="仿宋_GB2312" w:eastAsia="仿宋_GB2312" w:cs="仿宋_GB2312"/>
          <w:color w:val="0C0C0C"/>
          <w:sz w:val="32"/>
          <w:szCs w:val="32"/>
        </w:rPr>
        <w:t>•</w:t>
      </w:r>
      <w:r>
        <w:rPr>
          <w:rFonts w:hint="eastAsia" w:ascii="仿宋_GB2312" w:hAnsi="仿宋_GB2312" w:eastAsia="仿宋_GB2312" w:cs="仿宋_GB2312"/>
          <w:color w:val="0C0C0C"/>
          <w:sz w:val="32"/>
          <w:szCs w:val="32"/>
          <w:lang w:val="en-US" w:eastAsia="zh-CN"/>
        </w:rPr>
        <w:t>苯甲悬浮种衣剂60-80克，</w:t>
      </w:r>
      <w:r>
        <w:rPr>
          <w:rFonts w:hint="eastAsia" w:ascii="仿宋_GB2312" w:hAnsi="仿宋_GB2312" w:eastAsia="仿宋_GB2312" w:cs="仿宋_GB2312"/>
          <w:color w:val="0C0C0C"/>
          <w:sz w:val="32"/>
          <w:szCs w:val="32"/>
        </w:rPr>
        <w:t>加上0.136%赤•吲乙•芸苔可湿性粉剂</w:t>
      </w:r>
      <w:r>
        <w:rPr>
          <w:rFonts w:hint="eastAsia" w:ascii="仿宋_GB2312" w:hAnsi="仿宋_GB2312" w:eastAsia="仿宋_GB2312" w:cs="仿宋_GB2312"/>
          <w:color w:val="0C0C0C"/>
          <w:sz w:val="32"/>
          <w:szCs w:val="32"/>
          <w:lang w:val="en-US" w:eastAsia="zh-CN"/>
        </w:rPr>
        <w:t>2</w:t>
      </w:r>
      <w:r>
        <w:rPr>
          <w:rFonts w:hint="eastAsia" w:ascii="仿宋_GB2312" w:hAnsi="仿宋_GB2312" w:eastAsia="仿宋_GB2312" w:cs="仿宋_GB2312"/>
          <w:color w:val="0C0C0C"/>
          <w:sz w:val="32"/>
          <w:szCs w:val="32"/>
        </w:rPr>
        <w:t>克，兑水100-200毫升，混合均匀调成浆状药液。</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2.预防小麦黑穗病。按10公斤干麦种选用60克/升戊唑醇种子处理悬浮剂3.5-4.5毫升、或9%氟环•咯•苯甲种子处理悬浮剂10-20毫升、或11%唑醚•灭菌唑种子处理悬浮剂6.5-7.5毫升，加上0.136%赤•吲乙•芸苔可湿性粉剂</w:t>
      </w:r>
      <w:r>
        <w:rPr>
          <w:rFonts w:hint="eastAsia" w:ascii="仿宋_GB2312" w:hAnsi="仿宋_GB2312" w:eastAsia="仿宋_GB2312" w:cs="仿宋_GB2312"/>
          <w:color w:val="0C0C0C"/>
          <w:sz w:val="32"/>
          <w:szCs w:val="32"/>
          <w:lang w:val="en-US" w:eastAsia="zh-CN"/>
        </w:rPr>
        <w:t>2</w:t>
      </w:r>
      <w:r>
        <w:rPr>
          <w:rFonts w:hint="eastAsia" w:ascii="仿宋_GB2312" w:hAnsi="仿宋_GB2312" w:eastAsia="仿宋_GB2312" w:cs="仿宋_GB2312"/>
          <w:color w:val="0C0C0C"/>
          <w:sz w:val="32"/>
          <w:szCs w:val="32"/>
        </w:rPr>
        <w:t>克，兑水100-200毫升，混合均匀调成浆状药液。</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3.将配制好的浆状药液与种子充分混匀，待种子均匀着药后，摊开于通风阴凉处晾干，晾干后的小麦种子可直接播种。</w:t>
      </w:r>
    </w:p>
    <w:p>
      <w:pPr>
        <w:spacing w:line="600" w:lineRule="exact"/>
        <w:ind w:firstLine="642" w:firstLineChars="200"/>
        <w:rPr>
          <w:rFonts w:hint="eastAsia" w:ascii="楷体_GB2312" w:hAnsi="楷体_GB2312" w:eastAsia="楷体_GB2312" w:cs="楷体_GB2312"/>
          <w:b/>
          <w:bCs/>
          <w:color w:val="auto"/>
          <w:kern w:val="2"/>
          <w:sz w:val="32"/>
          <w:szCs w:val="32"/>
          <w:lang w:val="en-US" w:eastAsia="zh-CN" w:bidi="ar-SA"/>
        </w:rPr>
      </w:pPr>
      <w:r>
        <w:rPr>
          <w:rFonts w:hint="eastAsia" w:ascii="楷体_GB2312" w:hAnsi="楷体_GB2312" w:eastAsia="楷体_GB2312" w:cs="楷体_GB2312"/>
          <w:b/>
          <w:bCs/>
          <w:color w:val="auto"/>
          <w:kern w:val="2"/>
          <w:sz w:val="32"/>
          <w:szCs w:val="32"/>
          <w:lang w:val="en-US" w:eastAsia="zh-CN" w:bidi="ar-SA"/>
        </w:rPr>
        <w:t>（三）玉米药剂拌种技术</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lang w:val="en-US" w:eastAsia="zh-CN"/>
        </w:rPr>
      </w:pPr>
      <w:r>
        <w:rPr>
          <w:rFonts w:hint="eastAsia" w:ascii="仿宋_GB2312" w:hAnsi="仿宋_GB2312" w:eastAsia="仿宋_GB2312" w:cs="仿宋_GB2312"/>
          <w:color w:val="0C0C0C"/>
          <w:sz w:val="32"/>
          <w:szCs w:val="32"/>
        </w:rPr>
        <w:t>1.预防玉米茎基腐病。按10公斤玉米种子选用35克/升咯菌•精甲霜悬浮种衣剂10-15毫升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rPr>
        <w:t>或18%噻灵•咯•精甲种子处理悬浮剂10-20毫升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rPr>
        <w:t>或4%精甲•咯菌腈种子处理悬浮剂10-15毫升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lang w:val="en-US" w:eastAsia="zh-CN"/>
        </w:rPr>
        <w:t>或12%甲硫灵•精甲霜•嘧菌酯</w:t>
      </w:r>
      <w:r>
        <w:rPr>
          <w:rFonts w:hint="eastAsia" w:ascii="仿宋_GB2312" w:hAnsi="仿宋_GB2312" w:eastAsia="仿宋_GB2312" w:cs="仿宋_GB2312"/>
          <w:color w:val="0C0C0C"/>
          <w:sz w:val="32"/>
          <w:szCs w:val="32"/>
        </w:rPr>
        <w:t>种子处理悬浮剂</w:t>
      </w:r>
      <w:r>
        <w:rPr>
          <w:rFonts w:hint="eastAsia" w:ascii="仿宋_GB2312" w:hAnsi="仿宋_GB2312" w:eastAsia="仿宋_GB2312" w:cs="仿宋_GB2312"/>
          <w:color w:val="0C0C0C"/>
          <w:sz w:val="32"/>
          <w:szCs w:val="32"/>
          <w:lang w:val="en-US" w:eastAsia="zh-CN"/>
        </w:rPr>
        <w:t>10-30毫升，兑水100-200毫升。</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2.预防玉米丝黑穗病。按10公斤玉米种子选用22.4%氟唑菌苯胺种子处理悬浮剂20-30毫升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rPr>
        <w:t>或60克/升戊唑醇种子处理悬浮剂10-20毫升</w:t>
      </w:r>
      <w:r>
        <w:rPr>
          <w:rFonts w:hint="eastAsia" w:ascii="仿宋_GB2312" w:hAnsi="仿宋_GB2312" w:eastAsia="仿宋_GB2312" w:cs="仿宋_GB2312"/>
          <w:color w:val="0C0C0C"/>
          <w:sz w:val="32"/>
          <w:szCs w:val="32"/>
          <w:lang w:eastAsia="zh-CN"/>
        </w:rPr>
        <w:t>、或</w:t>
      </w:r>
      <w:r>
        <w:rPr>
          <w:rFonts w:hint="eastAsia" w:ascii="仿宋_GB2312" w:hAnsi="仿宋_GB2312" w:eastAsia="仿宋_GB2312" w:cs="仿宋_GB2312"/>
          <w:color w:val="0C0C0C"/>
          <w:sz w:val="32"/>
          <w:szCs w:val="32"/>
          <w:lang w:val="en-US" w:eastAsia="zh-CN"/>
        </w:rPr>
        <w:t>10%精甲•戊•嘧菌悬浮种衣剂20-30克（兼治</w:t>
      </w:r>
      <w:r>
        <w:rPr>
          <w:rFonts w:hint="eastAsia" w:ascii="仿宋_GB2312" w:hAnsi="仿宋_GB2312" w:eastAsia="仿宋_GB2312" w:cs="仿宋_GB2312"/>
          <w:color w:val="0C0C0C"/>
          <w:sz w:val="32"/>
          <w:szCs w:val="32"/>
        </w:rPr>
        <w:t>茎基腐病</w:t>
      </w:r>
      <w:r>
        <w:rPr>
          <w:rFonts w:hint="eastAsia" w:ascii="仿宋_GB2312" w:hAnsi="仿宋_GB2312" w:eastAsia="仿宋_GB2312" w:cs="仿宋_GB2312"/>
          <w:color w:val="0C0C0C"/>
          <w:sz w:val="32"/>
          <w:szCs w:val="32"/>
          <w:lang w:val="en-US" w:eastAsia="zh-CN"/>
        </w:rPr>
        <w:t>），</w:t>
      </w:r>
      <w:r>
        <w:rPr>
          <w:rFonts w:hint="eastAsia" w:ascii="仿宋_GB2312" w:hAnsi="仿宋_GB2312" w:eastAsia="仿宋_GB2312" w:cs="仿宋_GB2312"/>
          <w:color w:val="0C0C0C"/>
          <w:sz w:val="32"/>
          <w:szCs w:val="32"/>
          <w:lang w:eastAsia="zh-CN"/>
        </w:rPr>
        <w:t>兑</w:t>
      </w:r>
      <w:r>
        <w:rPr>
          <w:rFonts w:hint="eastAsia" w:ascii="仿宋_GB2312" w:hAnsi="仿宋_GB2312" w:eastAsia="仿宋_GB2312" w:cs="仿宋_GB2312"/>
          <w:color w:val="0C0C0C"/>
          <w:sz w:val="32"/>
          <w:szCs w:val="32"/>
        </w:rPr>
        <w:t>水100-200毫升。</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3.预防玉米丝黑穗病、蚜虫等。按10公斤玉米种子选用</w:t>
      </w:r>
      <w:r>
        <w:rPr>
          <w:rFonts w:hint="eastAsia" w:ascii="仿宋_GB2312" w:hAnsi="仿宋_GB2312" w:eastAsia="仿宋_GB2312" w:cs="仿宋_GB2312"/>
          <w:color w:val="0C0C0C"/>
          <w:sz w:val="32"/>
          <w:szCs w:val="32"/>
          <w:lang w:val="en-US" w:eastAsia="zh-CN"/>
        </w:rPr>
        <w:t>21</w:t>
      </w:r>
      <w:r>
        <w:rPr>
          <w:rFonts w:hint="eastAsia" w:ascii="仿宋_GB2312" w:hAnsi="仿宋_GB2312" w:eastAsia="仿宋_GB2312" w:cs="仿宋_GB2312"/>
          <w:color w:val="0C0C0C"/>
          <w:sz w:val="32"/>
          <w:szCs w:val="32"/>
        </w:rPr>
        <w:t>%戊唑•吡虫啉悬浮种衣剂40-80毫升，</w:t>
      </w:r>
      <w:r>
        <w:rPr>
          <w:rFonts w:hint="eastAsia" w:ascii="仿宋_GB2312" w:hAnsi="仿宋_GB2312" w:eastAsia="仿宋_GB2312" w:cs="仿宋_GB2312"/>
          <w:color w:val="0C0C0C"/>
          <w:sz w:val="32"/>
          <w:szCs w:val="32"/>
          <w:lang w:eastAsia="zh-CN"/>
        </w:rPr>
        <w:t>兑水</w:t>
      </w:r>
      <w:r>
        <w:rPr>
          <w:rFonts w:hint="eastAsia" w:ascii="仿宋_GB2312" w:hAnsi="仿宋_GB2312" w:eastAsia="仿宋_GB2312" w:cs="仿宋_GB2312"/>
          <w:color w:val="0C0C0C"/>
          <w:sz w:val="32"/>
          <w:szCs w:val="32"/>
        </w:rPr>
        <w:t>150-200毫升。</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4.预防玉米地下害虫、草地贪夜蛾、</w:t>
      </w:r>
      <w:r>
        <w:rPr>
          <w:rFonts w:hint="eastAsia" w:ascii="仿宋_GB2312" w:hAnsi="仿宋_GB2312" w:eastAsia="仿宋_GB2312" w:cs="仿宋_GB2312"/>
          <w:color w:val="0C0C0C"/>
          <w:sz w:val="32"/>
          <w:szCs w:val="32"/>
          <w:lang w:eastAsia="zh-CN"/>
        </w:rPr>
        <w:t>粘虫、</w:t>
      </w:r>
      <w:r>
        <w:rPr>
          <w:rFonts w:hint="eastAsia" w:ascii="仿宋_GB2312" w:hAnsi="仿宋_GB2312" w:eastAsia="仿宋_GB2312" w:cs="仿宋_GB2312"/>
          <w:color w:val="0C0C0C"/>
          <w:sz w:val="32"/>
          <w:szCs w:val="32"/>
        </w:rPr>
        <w:t>蚜虫等。按10公斤玉米种子选用40%溴酰•噻虫嗪种子处理悬浮剂30-60毫升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rPr>
        <w:t>或50%氯虫苯甲酰胺种子处理悬浮剂38-53毫升，</w:t>
      </w:r>
      <w:r>
        <w:rPr>
          <w:rFonts w:hint="eastAsia" w:ascii="仿宋_GB2312" w:hAnsi="仿宋_GB2312" w:eastAsia="仿宋_GB2312" w:cs="仿宋_GB2312"/>
          <w:color w:val="0C0C0C"/>
          <w:sz w:val="32"/>
          <w:szCs w:val="32"/>
          <w:lang w:eastAsia="zh-CN"/>
        </w:rPr>
        <w:t>兑水</w:t>
      </w:r>
      <w:r>
        <w:rPr>
          <w:rFonts w:hint="eastAsia" w:ascii="仿宋_GB2312" w:hAnsi="仿宋_GB2312" w:eastAsia="仿宋_GB2312" w:cs="仿宋_GB2312"/>
          <w:color w:val="0C0C0C"/>
          <w:sz w:val="32"/>
          <w:szCs w:val="32"/>
        </w:rPr>
        <w:t>80-200毫升；或600克/升吡虫啉悬浮种衣剂20-60毫升，</w:t>
      </w:r>
      <w:r>
        <w:rPr>
          <w:rFonts w:hint="eastAsia" w:ascii="仿宋_GB2312" w:hAnsi="仿宋_GB2312" w:eastAsia="仿宋_GB2312" w:cs="仿宋_GB2312"/>
          <w:color w:val="0C0C0C"/>
          <w:sz w:val="32"/>
          <w:szCs w:val="32"/>
          <w:lang w:eastAsia="zh-CN"/>
        </w:rPr>
        <w:t>兑水</w:t>
      </w:r>
      <w:r>
        <w:rPr>
          <w:rFonts w:hint="eastAsia" w:ascii="仿宋_GB2312" w:hAnsi="仿宋_GB2312" w:eastAsia="仿宋_GB2312" w:cs="仿宋_GB2312"/>
          <w:color w:val="0C0C0C"/>
          <w:sz w:val="32"/>
          <w:szCs w:val="32"/>
        </w:rPr>
        <w:t>200毫升；或35%噻虫嗪悬浮种衣剂40-60毫升，</w:t>
      </w:r>
      <w:r>
        <w:rPr>
          <w:rFonts w:hint="eastAsia" w:ascii="仿宋_GB2312" w:hAnsi="仿宋_GB2312" w:eastAsia="仿宋_GB2312" w:cs="仿宋_GB2312"/>
          <w:color w:val="0C0C0C"/>
          <w:sz w:val="32"/>
          <w:szCs w:val="32"/>
          <w:lang w:eastAsia="zh-CN"/>
        </w:rPr>
        <w:t>兑</w:t>
      </w:r>
      <w:r>
        <w:rPr>
          <w:rFonts w:hint="eastAsia" w:ascii="仿宋_GB2312" w:hAnsi="仿宋_GB2312" w:eastAsia="仿宋_GB2312" w:cs="仿宋_GB2312"/>
          <w:color w:val="0C0C0C"/>
          <w:sz w:val="32"/>
          <w:szCs w:val="32"/>
        </w:rPr>
        <w:t>适量清水。</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5</w:t>
      </w:r>
      <w:r>
        <w:rPr>
          <w:rFonts w:hint="eastAsia" w:ascii="仿宋_GB2312" w:hAnsi="仿宋_GB2312" w:eastAsia="仿宋_GB2312" w:cs="仿宋_GB2312"/>
          <w:color w:val="0C0C0C"/>
          <w:sz w:val="32"/>
          <w:szCs w:val="32"/>
          <w:lang w:val="en-US" w:eastAsia="zh-CN"/>
        </w:rPr>
        <w:t>.</w:t>
      </w:r>
      <w:r>
        <w:rPr>
          <w:rFonts w:hint="eastAsia" w:ascii="仿宋_GB2312" w:hAnsi="仿宋_GB2312" w:eastAsia="仿宋_GB2312" w:cs="仿宋_GB2312"/>
          <w:color w:val="0C0C0C"/>
          <w:sz w:val="32"/>
          <w:szCs w:val="32"/>
        </w:rPr>
        <w:t>将稀释后的拌种药液与玉米种子充分搅拌，使药液均匀分布到种子表面，阴干后按常规方法播种。</w:t>
      </w:r>
    </w:p>
    <w:p>
      <w:pPr>
        <w:spacing w:line="600" w:lineRule="exact"/>
        <w:ind w:firstLine="642" w:firstLineChars="200"/>
        <w:rPr>
          <w:rFonts w:hint="eastAsia" w:ascii="楷体_GB2312" w:hAnsi="楷体_GB2312" w:eastAsia="楷体_GB2312" w:cs="楷体_GB2312"/>
          <w:b/>
          <w:bCs/>
          <w:color w:val="auto"/>
          <w:kern w:val="2"/>
          <w:sz w:val="32"/>
          <w:szCs w:val="32"/>
          <w:lang w:val="en-US" w:eastAsia="zh-CN" w:bidi="ar-SA"/>
        </w:rPr>
      </w:pPr>
      <w:r>
        <w:rPr>
          <w:rFonts w:hint="eastAsia" w:ascii="楷体_GB2312" w:hAnsi="楷体_GB2312" w:eastAsia="楷体_GB2312" w:cs="楷体_GB2312"/>
          <w:b/>
          <w:bCs/>
          <w:color w:val="auto"/>
          <w:kern w:val="2"/>
          <w:sz w:val="32"/>
          <w:szCs w:val="32"/>
          <w:lang w:val="en-US" w:eastAsia="zh-CN" w:bidi="ar-SA"/>
        </w:rPr>
        <w:t>（四）大豆药剂拌种技术</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预防大豆根腐病等土传病害。按10公斤大豆种子选用11%氟环•咯•精甲种子处理悬浮剂20-40毫升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rPr>
        <w:t>或62.5克/升精甲•咯菌腈悬浮种衣剂30-40毫升</w:t>
      </w:r>
      <w:r>
        <w:rPr>
          <w:rFonts w:hint="eastAsia" w:ascii="仿宋_GB2312" w:hAnsi="仿宋_GB2312" w:eastAsia="仿宋_GB2312" w:cs="仿宋_GB2312"/>
          <w:color w:val="0C0C0C"/>
          <w:sz w:val="32"/>
          <w:szCs w:val="32"/>
          <w:lang w:eastAsia="zh-CN"/>
        </w:rPr>
        <w:t>，</w:t>
      </w:r>
      <w:r>
        <w:rPr>
          <w:rFonts w:hint="eastAsia" w:ascii="仿宋_GB2312" w:hAnsi="仿宋_GB2312" w:eastAsia="仿宋_GB2312" w:cs="仿宋_GB2312"/>
          <w:color w:val="0C0C0C"/>
          <w:sz w:val="32"/>
          <w:szCs w:val="32"/>
          <w:lang w:val="en-US" w:eastAsia="zh-CN"/>
        </w:rPr>
        <w:t>兑</w:t>
      </w:r>
      <w:r>
        <w:rPr>
          <w:rFonts w:hint="eastAsia" w:ascii="仿宋_GB2312" w:hAnsi="仿宋_GB2312" w:eastAsia="仿宋_GB2312" w:cs="仿宋_GB2312"/>
          <w:color w:val="0C0C0C"/>
          <w:sz w:val="32"/>
          <w:szCs w:val="32"/>
        </w:rPr>
        <w:t>水50-100毫升，混合均匀调成浆状药液</w:t>
      </w:r>
      <w:r>
        <w:rPr>
          <w:rFonts w:hint="eastAsia" w:ascii="仿宋_GB2312" w:hAnsi="仿宋_GB2312" w:eastAsia="仿宋_GB2312" w:cs="仿宋_GB2312"/>
          <w:color w:val="0C0C0C"/>
          <w:sz w:val="32"/>
          <w:szCs w:val="32"/>
          <w:lang w:eastAsia="zh-CN"/>
        </w:rPr>
        <w:t>后，与</w:t>
      </w:r>
      <w:r>
        <w:rPr>
          <w:rFonts w:hint="eastAsia" w:ascii="仿宋_GB2312" w:hAnsi="仿宋_GB2312" w:eastAsia="仿宋_GB2312" w:cs="仿宋_GB2312"/>
          <w:color w:val="0C0C0C"/>
          <w:sz w:val="32"/>
          <w:szCs w:val="32"/>
        </w:rPr>
        <w:t>大豆种子充分搅拌至药液均匀分布到种子表面，阴干后可直接用于播种。</w:t>
      </w:r>
    </w:p>
    <w:p>
      <w:pPr>
        <w:spacing w:line="600" w:lineRule="exact"/>
        <w:ind w:firstLine="642" w:firstLineChars="200"/>
        <w:rPr>
          <w:rFonts w:hint="eastAsia" w:ascii="楷体_GB2312" w:hAnsi="楷体_GB2312" w:eastAsia="楷体_GB2312" w:cs="楷体_GB2312"/>
          <w:b/>
          <w:bCs/>
          <w:color w:val="auto"/>
          <w:kern w:val="2"/>
          <w:sz w:val="32"/>
          <w:szCs w:val="32"/>
          <w:lang w:val="en-US" w:eastAsia="zh-CN" w:bidi="ar-SA"/>
        </w:rPr>
      </w:pPr>
      <w:r>
        <w:rPr>
          <w:rFonts w:hint="eastAsia" w:ascii="楷体_GB2312" w:hAnsi="楷体_GB2312" w:eastAsia="楷体_GB2312" w:cs="楷体_GB2312"/>
          <w:b/>
          <w:bCs/>
          <w:color w:val="auto"/>
          <w:kern w:val="2"/>
          <w:sz w:val="32"/>
          <w:szCs w:val="32"/>
          <w:lang w:val="en-US" w:eastAsia="zh-CN" w:bidi="ar-SA"/>
        </w:rPr>
        <w:t>（五）马铃薯药剂拌种技术</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1.预防马铃薯蛴螬、地老虎等地下害虫，兼治蚜虫预防病毒病。按每100公斤种薯，选用600克/升吡虫啉悬浮种衣剂40-50毫升，</w:t>
      </w:r>
      <w:r>
        <w:rPr>
          <w:rFonts w:hint="eastAsia" w:ascii="仿宋_GB2312" w:hAnsi="仿宋_GB2312" w:eastAsia="仿宋_GB2312" w:cs="仿宋_GB2312"/>
          <w:color w:val="0C0C0C"/>
          <w:sz w:val="32"/>
          <w:szCs w:val="32"/>
          <w:lang w:eastAsia="zh-CN"/>
        </w:rPr>
        <w:t>兑</w:t>
      </w:r>
      <w:r>
        <w:rPr>
          <w:rFonts w:hint="eastAsia" w:ascii="仿宋_GB2312" w:hAnsi="仿宋_GB2312" w:eastAsia="仿宋_GB2312" w:cs="仿宋_GB2312"/>
          <w:color w:val="0C0C0C"/>
          <w:sz w:val="32"/>
          <w:szCs w:val="32"/>
        </w:rPr>
        <w:t>水460-950毫升稀释，将稀释药液倒在种薯上充分搅拌。</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2.预防马铃薯黑痣病。按每100公斤种薯，选用22.4%氟唑菌苯胺种子处理悬浮剂8-12毫升，</w:t>
      </w:r>
      <w:r>
        <w:rPr>
          <w:rFonts w:hint="eastAsia" w:ascii="仿宋_GB2312" w:hAnsi="仿宋_GB2312" w:eastAsia="仿宋_GB2312" w:cs="仿宋_GB2312"/>
          <w:color w:val="0C0C0C"/>
          <w:sz w:val="32"/>
          <w:szCs w:val="32"/>
          <w:lang w:eastAsia="zh-CN"/>
        </w:rPr>
        <w:t>兑</w:t>
      </w:r>
      <w:r>
        <w:rPr>
          <w:rFonts w:hint="eastAsia" w:ascii="仿宋_GB2312" w:hAnsi="仿宋_GB2312" w:eastAsia="仿宋_GB2312" w:cs="仿宋_GB2312"/>
          <w:color w:val="0C0C0C"/>
          <w:sz w:val="32"/>
          <w:szCs w:val="32"/>
        </w:rPr>
        <w:t>水稀释至500-1000毫升，倒在种薯上充分搅拌；或8%氟环•咯菌腈种子处理悬浮剂30-70毫升，</w:t>
      </w:r>
      <w:r>
        <w:rPr>
          <w:rFonts w:hint="eastAsia" w:ascii="仿宋_GB2312" w:hAnsi="仿宋_GB2312" w:eastAsia="仿宋_GB2312" w:cs="仿宋_GB2312"/>
          <w:color w:val="0C0C0C"/>
          <w:sz w:val="32"/>
          <w:szCs w:val="32"/>
          <w:lang w:eastAsia="zh-CN"/>
        </w:rPr>
        <w:t>兑</w:t>
      </w:r>
      <w:r>
        <w:rPr>
          <w:rFonts w:hint="eastAsia" w:ascii="仿宋_GB2312" w:hAnsi="仿宋_GB2312" w:eastAsia="仿宋_GB2312" w:cs="仿宋_GB2312"/>
          <w:color w:val="0C0C0C"/>
          <w:sz w:val="32"/>
          <w:szCs w:val="32"/>
        </w:rPr>
        <w:t>水200-300毫升稀释后喷雾到种薯上并充分搅拌；</w:t>
      </w:r>
      <w:r>
        <w:rPr>
          <w:rFonts w:hint="eastAsia" w:ascii="仿宋_GB2312" w:hAnsi="仿宋_GB2312" w:eastAsia="仿宋_GB2312" w:cs="仿宋_GB2312"/>
          <w:color w:val="0C0C0C"/>
          <w:sz w:val="32"/>
          <w:szCs w:val="32"/>
          <w:lang w:val="en-US" w:eastAsia="zh-CN"/>
        </w:rPr>
        <w:t>24%氟酰胺•嘧菌酯•噻虫嗪种子处理悬浮剂160-200毫升，兑水700毫升稀释，再与马铃薯块茎搅拌均匀；</w:t>
      </w:r>
      <w:r>
        <w:rPr>
          <w:rFonts w:hint="eastAsia" w:ascii="仿宋_GB2312" w:hAnsi="仿宋_GB2312" w:eastAsia="仿宋_GB2312" w:cs="仿宋_GB2312"/>
          <w:color w:val="0C0C0C"/>
          <w:sz w:val="32"/>
          <w:szCs w:val="32"/>
        </w:rPr>
        <w:t>或50%克菌丹可湿性粉剂100-120克，倒在种薯上充分搅拌均匀。</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3.预防马铃薯环腐病。按每100公斤种薯，选用70%甲基硫菌灵可湿性粉剂80-100克，倒在种薯上充分搅拌均匀。</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4.将均匀着药后的种薯摊开于通风阴凉处晾干后播种。</w:t>
      </w:r>
    </w:p>
    <w:p>
      <w:pPr>
        <w:spacing w:line="600" w:lineRule="exact"/>
        <w:ind w:firstLine="642" w:firstLineChars="200"/>
        <w:rPr>
          <w:rFonts w:hint="eastAsia" w:ascii="楷体_GB2312" w:hAnsi="楷体_GB2312" w:eastAsia="楷体_GB2312" w:cs="楷体_GB2312"/>
          <w:b/>
          <w:bCs/>
          <w:color w:val="auto"/>
          <w:kern w:val="2"/>
          <w:sz w:val="32"/>
          <w:szCs w:val="32"/>
          <w:lang w:val="en-US" w:eastAsia="zh-CN" w:bidi="ar-SA"/>
        </w:rPr>
      </w:pPr>
      <w:r>
        <w:rPr>
          <w:rFonts w:hint="eastAsia" w:ascii="楷体_GB2312" w:hAnsi="楷体_GB2312" w:eastAsia="楷体_GB2312" w:cs="楷体_GB2312"/>
          <w:b/>
          <w:bCs/>
          <w:color w:val="auto"/>
          <w:kern w:val="2"/>
          <w:sz w:val="32"/>
          <w:szCs w:val="32"/>
          <w:lang w:val="en-US" w:eastAsia="zh-CN" w:bidi="ar-SA"/>
        </w:rPr>
        <w:t>（六）油菜药剂拌种技术</w:t>
      </w:r>
    </w:p>
    <w:p>
      <w:pPr>
        <w:pStyle w:val="7"/>
        <w:widowControl/>
        <w:spacing w:before="0" w:beforeAutospacing="0" w:after="0" w:afterAutospacing="0"/>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主要预防油菜幼苗期黄曲跳甲、蚜虫等主要害虫。选用噻虫嗪等种子处理悬浮剂，拌种时选择加入赤•吲乙•芸苔等，提高油菜播种出苗质量和抗病虫能力。按10公斤干油菜种选用30%噻虫嗪种子处理悬浮剂80-160毫升，加上0.136%赤•吲乙•芸苔可湿性粉剂10克，兑水10-20毫升，混合均匀调成浆状药液，与种子充分搅拌，直到药液均匀分布到种子表面，晾干后即可播种。拌种处理后的种子应及时播种，或控制在安全水分以下，在适宜的条件下储藏。</w:t>
      </w:r>
    </w:p>
    <w:p>
      <w:pPr>
        <w:pStyle w:val="14"/>
        <w:widowControl w:val="0"/>
        <w:spacing w:before="0" w:beforeAutospacing="0" w:after="0" w:afterAutospacing="0" w:line="600" w:lineRule="exact"/>
        <w:ind w:firstLine="640" w:firstLineChars="200"/>
        <w:jc w:val="both"/>
        <w:rPr>
          <w:rFonts w:hint="eastAsia" w:ascii="仿宋_GB2312" w:hAnsi="仿宋_GB2312" w:eastAsia="仿宋_GB2312" w:cs="仿宋_GB2312"/>
          <w:sz w:val="32"/>
          <w:szCs w:val="32"/>
        </w:rPr>
      </w:pPr>
      <w:r>
        <w:rPr>
          <w:rFonts w:hint="eastAsia" w:ascii="黑体" w:hAnsi="黑体" w:eastAsia="黑体" w:cs="黑体"/>
          <w:b w:val="0"/>
          <w:bCs w:val="0"/>
          <w:color w:val="000000"/>
          <w:sz w:val="32"/>
          <w:szCs w:val="32"/>
        </w:rPr>
        <w:t>三、适宜区域</w:t>
      </w:r>
    </w:p>
    <w:p>
      <w:pPr>
        <w:spacing w:line="600" w:lineRule="exact"/>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 xml:space="preserve">主要粮油作物药剂拌种减药增效技术适宜贵州省粮油作物种植所有区域推广应用。 </w:t>
      </w:r>
    </w:p>
    <w:p>
      <w:pPr>
        <w:spacing w:line="600" w:lineRule="exact"/>
        <w:ind w:firstLine="640" w:firstLineChars="200"/>
        <w:rPr>
          <w:rFonts w:ascii="仿宋" w:hAnsi="仿宋" w:eastAsia="仿宋"/>
          <w:color w:val="000000"/>
          <w:sz w:val="32"/>
          <w:szCs w:val="32"/>
        </w:rPr>
      </w:pPr>
      <w:r>
        <w:rPr>
          <w:rFonts w:hint="eastAsia" w:ascii="黑体" w:hAnsi="黑体" w:eastAsia="黑体" w:cs="黑体"/>
          <w:b w:val="0"/>
          <w:bCs w:val="0"/>
          <w:color w:val="000000"/>
          <w:kern w:val="0"/>
          <w:sz w:val="32"/>
          <w:szCs w:val="32"/>
        </w:rPr>
        <w:t>四、注意事项</w:t>
      </w:r>
    </w:p>
    <w:p>
      <w:pPr>
        <w:spacing w:line="600" w:lineRule="exact"/>
        <w:ind w:firstLine="640" w:firstLineChars="200"/>
        <w:rPr>
          <w:rFonts w:hint="eastAsia" w:ascii="仿宋_GB2312" w:hAnsi="仿宋_GB2312" w:eastAsia="仿宋_GB2312" w:cs="仿宋_GB2312"/>
          <w:color w:val="0C0C0C"/>
          <w:sz w:val="32"/>
          <w:szCs w:val="32"/>
        </w:rPr>
      </w:pPr>
      <w:r>
        <w:rPr>
          <w:rFonts w:hint="eastAsia" w:ascii="仿宋_GB2312" w:hAnsi="仿宋_GB2312" w:eastAsia="仿宋_GB2312" w:cs="仿宋_GB2312"/>
          <w:color w:val="0C0C0C"/>
          <w:sz w:val="32"/>
          <w:szCs w:val="32"/>
        </w:rPr>
        <w:t>该技术更适用于主要粮食作物规模种植的区域。药剂拌种时，将拌种药液与种子充分搅拌，直至药液均匀分布到种子表面，阴干后即可，配制好的拌种药液应在24小时内使用，避免产生沉淀影响拌种防治效果。</w:t>
      </w:r>
    </w:p>
    <w:p>
      <w:pPr>
        <w:pStyle w:val="14"/>
        <w:widowControl w:val="0"/>
        <w:spacing w:before="0" w:beforeAutospacing="0" w:after="0" w:afterAutospacing="0" w:line="600" w:lineRule="exact"/>
        <w:ind w:firstLine="640" w:firstLineChars="200"/>
        <w:jc w:val="both"/>
        <w:rPr>
          <w:rFonts w:ascii="黑体" w:hAnsi="黑体" w:eastAsia="黑体" w:cs="黑体"/>
          <w:sz w:val="32"/>
          <w:szCs w:val="32"/>
        </w:rPr>
      </w:pPr>
      <w:r>
        <w:rPr>
          <w:rFonts w:hint="eastAsia" w:ascii="黑体" w:hAnsi="黑体" w:eastAsia="黑体" w:cs="黑体"/>
          <w:b w:val="0"/>
          <w:bCs w:val="0"/>
          <w:color w:val="000000"/>
          <w:sz w:val="32"/>
          <w:szCs w:val="32"/>
        </w:rPr>
        <w:t>五、技术依托单位</w:t>
      </w:r>
      <w:bookmarkStart w:id="0" w:name="_GoBack"/>
      <w:bookmarkEnd w:id="0"/>
    </w:p>
    <w:p>
      <w:pPr>
        <w:pStyle w:val="14"/>
        <w:widowControl w:val="0"/>
        <w:spacing w:before="0" w:beforeAutospacing="0" w:after="0" w:afterAutospacing="0" w:line="600" w:lineRule="exact"/>
        <w:ind w:firstLine="642" w:firstLineChars="200"/>
        <w:jc w:val="both"/>
        <w:rPr>
          <w:rFonts w:hint="eastAsia" w:ascii="楷体_GB2312" w:hAnsi="楷体_GB2312" w:eastAsia="楷体_GB2312" w:cs="楷体_GB2312"/>
          <w:b/>
          <w:bCs/>
          <w:color w:val="auto"/>
          <w:kern w:val="2"/>
          <w:sz w:val="32"/>
          <w:szCs w:val="32"/>
          <w:lang w:val="en-US" w:eastAsia="zh-CN" w:bidi="ar-SA"/>
        </w:rPr>
      </w:pPr>
      <w:r>
        <w:rPr>
          <w:rFonts w:hint="eastAsia" w:ascii="楷体_GB2312" w:hAnsi="楷体_GB2312" w:eastAsia="楷体_GB2312" w:cs="楷体_GB2312"/>
          <w:b/>
          <w:bCs/>
          <w:color w:val="auto"/>
          <w:kern w:val="2"/>
          <w:sz w:val="32"/>
          <w:szCs w:val="32"/>
          <w:lang w:val="en-US" w:eastAsia="zh-CN" w:bidi="ar-SA"/>
        </w:rPr>
        <w:t>（一）贵州省植保植检站</w:t>
      </w:r>
    </w:p>
    <w:p>
      <w:pPr>
        <w:pStyle w:val="14"/>
        <w:widowControl w:val="0"/>
        <w:spacing w:before="0" w:beforeAutospacing="0" w:after="0" w:afterAutospacing="0" w:line="600" w:lineRule="exact"/>
        <w:ind w:firstLine="640" w:firstLineChars="200"/>
        <w:jc w:val="both"/>
        <w:rPr>
          <w:rFonts w:hint="eastAsia" w:ascii="仿宋_GB2312" w:hAnsi="仿宋_GB2312" w:eastAsia="仿宋_GB2312" w:cs="仿宋_GB2312"/>
          <w:color w:val="0C0C0C"/>
          <w:kern w:val="2"/>
          <w:sz w:val="32"/>
          <w:szCs w:val="32"/>
          <w:lang w:val="en-US" w:eastAsia="zh-CN" w:bidi="ar-SA"/>
        </w:rPr>
      </w:pPr>
      <w:r>
        <w:rPr>
          <w:rFonts w:hint="eastAsia" w:ascii="仿宋_GB2312" w:hAnsi="仿宋_GB2312" w:eastAsia="仿宋_GB2312" w:cs="仿宋_GB2312"/>
          <w:color w:val="0C0C0C"/>
          <w:kern w:val="2"/>
          <w:sz w:val="32"/>
          <w:szCs w:val="32"/>
          <w:lang w:val="en-US" w:eastAsia="zh-CN" w:bidi="ar-SA"/>
        </w:rPr>
        <w:t>联系地址：贵阳市延安中路62号贵州省植保植检站</w:t>
      </w:r>
    </w:p>
    <w:p>
      <w:pPr>
        <w:pStyle w:val="14"/>
        <w:widowControl w:val="0"/>
        <w:spacing w:before="0" w:beforeAutospacing="0" w:after="0" w:afterAutospacing="0" w:line="600" w:lineRule="exact"/>
        <w:ind w:firstLine="640" w:firstLineChars="200"/>
        <w:jc w:val="both"/>
        <w:rPr>
          <w:rFonts w:hint="default" w:ascii="仿宋_GB2312" w:hAnsi="仿宋_GB2312" w:eastAsia="仿宋_GB2312" w:cs="仿宋_GB2312"/>
          <w:color w:val="0C0C0C"/>
          <w:kern w:val="2"/>
          <w:sz w:val="32"/>
          <w:szCs w:val="32"/>
          <w:lang w:val="en" w:eastAsia="zh-CN" w:bidi="ar-SA"/>
        </w:rPr>
      </w:pPr>
      <w:r>
        <w:rPr>
          <w:rFonts w:hint="eastAsia" w:ascii="仿宋_GB2312" w:hAnsi="仿宋_GB2312" w:eastAsia="仿宋_GB2312" w:cs="仿宋_GB2312"/>
          <w:color w:val="0C0C0C"/>
          <w:kern w:val="2"/>
          <w:sz w:val="32"/>
          <w:szCs w:val="32"/>
          <w:lang w:val="en-US" w:eastAsia="zh-CN" w:bidi="ar-SA"/>
        </w:rPr>
        <w:t>联系人：李学琳、凡迪</w:t>
      </w:r>
    </w:p>
    <w:p>
      <w:pPr>
        <w:pStyle w:val="14"/>
        <w:widowControl w:val="0"/>
        <w:spacing w:before="0" w:beforeAutospacing="0" w:after="0" w:afterAutospacing="0" w:line="600" w:lineRule="exact"/>
        <w:ind w:firstLine="640" w:firstLineChars="200"/>
        <w:jc w:val="both"/>
        <w:rPr>
          <w:rFonts w:hint="default" w:ascii="仿宋_GB2312" w:hAnsi="仿宋_GB2312" w:eastAsia="仿宋_GB2312" w:cs="仿宋_GB2312"/>
          <w:color w:val="0C0C0C"/>
          <w:kern w:val="2"/>
          <w:sz w:val="32"/>
          <w:szCs w:val="32"/>
          <w:lang w:val="en-US" w:eastAsia="zh-CN" w:bidi="ar-SA"/>
        </w:rPr>
      </w:pPr>
      <w:r>
        <w:rPr>
          <w:rFonts w:hint="eastAsia" w:ascii="仿宋_GB2312" w:hAnsi="仿宋_GB2312" w:eastAsia="仿宋_GB2312" w:cs="仿宋_GB2312"/>
          <w:color w:val="0C0C0C"/>
          <w:kern w:val="2"/>
          <w:sz w:val="32"/>
          <w:szCs w:val="32"/>
          <w:lang w:val="en-US" w:eastAsia="zh-CN" w:bidi="ar-SA"/>
        </w:rPr>
        <w:t>联系电话：15285114723、15285966327</w:t>
      </w:r>
    </w:p>
    <w:p>
      <w:pPr>
        <w:pStyle w:val="14"/>
        <w:widowControl w:val="0"/>
        <w:spacing w:before="0" w:beforeAutospacing="0" w:after="0" w:afterAutospacing="0" w:line="600" w:lineRule="exact"/>
        <w:ind w:firstLine="640" w:firstLineChars="200"/>
        <w:jc w:val="both"/>
        <w:rPr>
          <w:rFonts w:hint="default" w:ascii="仿宋_GB2312" w:hAnsi="仿宋_GB2312" w:eastAsia="仿宋_GB2312" w:cs="仿宋_GB2312"/>
          <w:color w:val="0C0C0C"/>
          <w:kern w:val="2"/>
          <w:sz w:val="32"/>
          <w:szCs w:val="32"/>
          <w:lang w:val="en-US" w:eastAsia="zh-CN" w:bidi="ar-SA"/>
        </w:rPr>
      </w:pPr>
      <w:r>
        <w:rPr>
          <w:rFonts w:hint="eastAsia" w:ascii="仿宋_GB2312" w:hAnsi="仿宋_GB2312" w:eastAsia="仿宋_GB2312" w:cs="仿宋_GB2312"/>
          <w:color w:val="0C0C0C"/>
          <w:kern w:val="2"/>
          <w:sz w:val="32"/>
          <w:szCs w:val="32"/>
          <w:lang w:val="en-US" w:eastAsia="zh-CN" w:bidi="ar-SA"/>
        </w:rPr>
        <w:t>电子信箱：396822934@qq.com</w:t>
      </w:r>
    </w:p>
    <w:p>
      <w:pPr>
        <w:sectPr>
          <w:footerReference r:id="rId3" w:type="default"/>
          <w:pgSz w:w="11906" w:h="16838"/>
          <w:pgMar w:top="1418" w:right="1417" w:bottom="1418" w:left="1417" w:header="851" w:footer="992" w:gutter="0"/>
          <w:cols w:space="0" w:num="1"/>
          <w:docGrid w:type="lines" w:linePitch="312" w:charSpace="0"/>
        </w:sectPr>
      </w:pPr>
    </w:p>
    <w:p>
      <w:pPr>
        <w:pStyle w:val="11"/>
        <w:tabs>
          <w:tab w:val="right" w:pos="8652"/>
        </w:tabs>
        <w:rPr>
          <w:rFonts w:hint="eastAsia"/>
          <w:lang w:eastAsia="zh-CN"/>
        </w:rPr>
      </w:pPr>
      <w:r>
        <w:drawing>
          <wp:inline distT="0" distB="0" distL="114300" distR="114300">
            <wp:extent cx="2493645" cy="3324860"/>
            <wp:effectExtent l="0" t="0" r="1905" b="8890"/>
            <wp:docPr id="2" name="Picture 2" descr="D:\微信缓存\WeChat Files\wxid_wfpjz93zbred21\FileStorage\Temp\f3f717da43b24c1874aa8e62d01a4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微信缓存\WeChat Files\wxid_wfpjz93zbred21\FileStorage\Temp\f3f717da43b24c1874aa8e62d01a43c.jpg"/>
                    <pic:cNvPicPr>
                      <a:picLocks noChangeAspect="1" noChangeArrowheads="1"/>
                    </pic:cNvPicPr>
                  </pic:nvPicPr>
                  <pic:blipFill>
                    <a:blip r:embed="rId5" cstate="print"/>
                    <a:srcRect/>
                    <a:stretch>
                      <a:fillRect/>
                    </a:stretch>
                  </pic:blipFill>
                  <pic:spPr>
                    <a:xfrm>
                      <a:off x="0" y="0"/>
                      <a:ext cx="2493645" cy="3324860"/>
                    </a:xfrm>
                    <a:prstGeom prst="rect">
                      <a:avLst/>
                    </a:prstGeom>
                    <a:noFill/>
                  </pic:spPr>
                </pic:pic>
              </a:graphicData>
            </a:graphic>
          </wp:inline>
        </w:drawing>
      </w:r>
      <w:r>
        <w:drawing>
          <wp:inline distT="0" distB="0" distL="114300" distR="114300">
            <wp:extent cx="2811780" cy="2615565"/>
            <wp:effectExtent l="0" t="0" r="7620" b="13335"/>
            <wp:docPr id="2056" name="Picture 8" descr="C:\Users\Administrator\Desktop\水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 name="Picture 8" descr="C:\Users\Administrator\Desktop\水稻.jpg"/>
                    <pic:cNvPicPr>
                      <a:picLocks noChangeAspect="1" noChangeArrowheads="1"/>
                    </pic:cNvPicPr>
                  </pic:nvPicPr>
                  <pic:blipFill>
                    <a:blip r:embed="rId6" cstate="print"/>
                    <a:srcRect t="6965"/>
                    <a:stretch>
                      <a:fillRect/>
                    </a:stretch>
                  </pic:blipFill>
                  <pic:spPr>
                    <a:xfrm>
                      <a:off x="0" y="0"/>
                      <a:ext cx="2811780" cy="2615565"/>
                    </a:xfrm>
                    <a:prstGeom prst="rect">
                      <a:avLst/>
                    </a:prstGeom>
                    <a:noFill/>
                  </pic:spPr>
                </pic:pic>
              </a:graphicData>
            </a:graphic>
          </wp:inline>
        </w:drawing>
      </w:r>
      <w:r>
        <w:rPr>
          <w:rFonts w:hint="eastAsia"/>
          <w:lang w:eastAsia="zh-CN"/>
        </w:rPr>
        <w:tab/>
      </w:r>
    </w:p>
    <w:p>
      <w:pPr>
        <w:pStyle w:val="11"/>
        <w:tabs>
          <w:tab w:val="right" w:pos="8652"/>
        </w:tabs>
        <w:ind w:left="0" w:leftChars="0" w:firstLine="0" w:firstLineChars="0"/>
        <w:rPr>
          <w:rFonts w:hint="eastAsia"/>
          <w:lang w:eastAsia="zh-CN"/>
        </w:rPr>
      </w:pPr>
      <w:r>
        <w:rPr>
          <w:rFonts w:hint="eastAsia" w:ascii="等线" w:hAnsi="等线" w:eastAsia="等线" w:cs="Times New Roman"/>
          <w:color w:val="000000"/>
          <w:kern w:val="2"/>
          <w:sz w:val="24"/>
          <w:szCs w:val="24"/>
          <w:lang w:val="en-US" w:eastAsia="zh-CN" w:bidi="ar-SA"/>
        </w:rPr>
        <w:t>穿好防护服，带好手套、口罩；准备好材料；称量所需拌种种子。</w:t>
      </w:r>
      <w:r>
        <w:rPr>
          <w:rFonts w:hint="eastAsia"/>
          <w:lang w:eastAsia="zh-CN"/>
        </w:rPr>
        <w:tab/>
      </w:r>
    </w:p>
    <w:p>
      <w:pPr>
        <w:pStyle w:val="7"/>
      </w:pPr>
      <w:r>
        <w:drawing>
          <wp:inline distT="0" distB="0" distL="114300" distR="114300">
            <wp:extent cx="2359660" cy="1769745"/>
            <wp:effectExtent l="0" t="0" r="2540" b="1905"/>
            <wp:docPr id="8" name="Picture 4" descr="D:\微信缓存\WeChat Files\wxid_wfpjz93zbred21\FileStorage\Temp\4daa0f31e067351bc03e58fac90ef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4" descr="D:\微信缓存\WeChat Files\wxid_wfpjz93zbred21\FileStorage\Temp\4daa0f31e067351bc03e58fac90efc3.jpg"/>
                    <pic:cNvPicPr>
                      <a:picLocks noChangeAspect="1" noChangeArrowheads="1"/>
                    </pic:cNvPicPr>
                  </pic:nvPicPr>
                  <pic:blipFill>
                    <a:blip r:embed="rId7" cstate="print"/>
                    <a:srcRect/>
                    <a:stretch>
                      <a:fillRect/>
                    </a:stretch>
                  </pic:blipFill>
                  <pic:spPr>
                    <a:xfrm>
                      <a:off x="0" y="0"/>
                      <a:ext cx="2360105" cy="1770078"/>
                    </a:xfrm>
                    <a:prstGeom prst="rect">
                      <a:avLst/>
                    </a:prstGeom>
                    <a:noFill/>
                  </pic:spPr>
                </pic:pic>
              </a:graphicData>
            </a:graphic>
          </wp:inline>
        </w:drawing>
      </w:r>
      <w:r>
        <w:rPr>
          <w:rFonts w:hint="eastAsia"/>
          <w:lang w:eastAsia="zh-CN"/>
        </w:rPr>
        <w:tab/>
      </w:r>
      <w:r>
        <w:drawing>
          <wp:inline distT="0" distB="0" distL="114300" distR="114300">
            <wp:extent cx="1381760" cy="1783715"/>
            <wp:effectExtent l="0" t="0" r="8890" b="6985"/>
            <wp:docPr id="7" name="图片 6" descr="微信图片_2022022610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微信图片_20220226101159"/>
                    <pic:cNvPicPr>
                      <a:picLocks noChangeAspect="1"/>
                    </pic:cNvPicPr>
                  </pic:nvPicPr>
                  <pic:blipFill>
                    <a:blip r:embed="rId8" cstate="print"/>
                    <a:stretch>
                      <a:fillRect/>
                    </a:stretch>
                  </pic:blipFill>
                  <pic:spPr>
                    <a:xfrm>
                      <a:off x="0" y="0"/>
                      <a:ext cx="1381760" cy="1783715"/>
                    </a:xfrm>
                    <a:prstGeom prst="rect">
                      <a:avLst/>
                    </a:prstGeom>
                  </pic:spPr>
                </pic:pic>
              </a:graphicData>
            </a:graphic>
          </wp:inline>
        </w:drawing>
      </w:r>
      <w:r>
        <w:drawing>
          <wp:inline distT="0" distB="0" distL="114300" distR="114300">
            <wp:extent cx="1219200" cy="1787525"/>
            <wp:effectExtent l="0" t="0" r="0" b="3175"/>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9" cstate="print"/>
                    <a:srcRect l="19963" t="39446" r="24946"/>
                    <a:stretch>
                      <a:fillRect/>
                    </a:stretch>
                  </pic:blipFill>
                  <pic:spPr>
                    <a:xfrm>
                      <a:off x="0" y="0"/>
                      <a:ext cx="1219200" cy="1787525"/>
                    </a:xfrm>
                    <a:prstGeom prst="rect">
                      <a:avLst/>
                    </a:prstGeom>
                    <a:noFill/>
                    <a:ln w="9525">
                      <a:noFill/>
                      <a:miter lim="800000"/>
                      <a:headEnd/>
                      <a:tailEnd/>
                    </a:ln>
                  </pic:spPr>
                </pic:pic>
              </a:graphicData>
            </a:graphic>
          </wp:inline>
        </w:drawing>
      </w:r>
    </w:p>
    <w:p>
      <w:pPr>
        <w:pStyle w:val="7"/>
        <w:numPr>
          <w:ilvl w:val="0"/>
          <w:numId w:val="0"/>
        </w:numPr>
        <w:tabs>
          <w:tab w:val="left" w:pos="3386"/>
        </w:tabs>
        <w:rPr>
          <w:rFonts w:hint="eastAsia" w:eastAsia="等线"/>
          <w:lang w:val="en-US" w:eastAsia="zh-CN"/>
        </w:rPr>
      </w:pPr>
      <w:r>
        <w:rPr>
          <w:rFonts w:hint="eastAsia" w:ascii="等线" w:hAnsi="等线" w:eastAsia="等线" w:cs="Times New Roman"/>
          <w:color w:val="000000"/>
          <w:kern w:val="2"/>
          <w:sz w:val="24"/>
          <w:szCs w:val="24"/>
          <w:lang w:val="en-US" w:eastAsia="zh-CN" w:bidi="ar-SA"/>
        </w:rPr>
        <w:t>准备拌种液</w:t>
      </w:r>
      <w:r>
        <w:rPr>
          <w:rFonts w:hint="eastAsia" w:eastAsia="等线" w:cs="Times New Roman"/>
          <w:color w:val="000000"/>
          <w:kern w:val="2"/>
          <w:sz w:val="24"/>
          <w:szCs w:val="24"/>
          <w:lang w:val="en-US" w:eastAsia="zh-CN" w:bidi="ar-SA"/>
        </w:rPr>
        <w:t>；</w:t>
      </w:r>
      <w:r>
        <w:rPr>
          <w:rFonts w:hint="eastAsia" w:ascii="等线" w:hAnsi="等线" w:eastAsia="等线" w:cs="Times New Roman"/>
          <w:color w:val="000000"/>
          <w:kern w:val="2"/>
          <w:sz w:val="24"/>
          <w:szCs w:val="24"/>
          <w:lang w:val="en-US" w:eastAsia="zh-CN" w:bidi="ar-SA"/>
        </w:rPr>
        <w:t>将种子倒入拌种机或拌种袋，加入拌种药液，充分搅拌。</w:t>
      </w:r>
    </w:p>
    <w:p>
      <w:pPr>
        <w:pStyle w:val="7"/>
        <w:numPr>
          <w:ilvl w:val="0"/>
          <w:numId w:val="0"/>
        </w:numPr>
      </w:pPr>
      <w:r>
        <w:drawing>
          <wp:inline distT="0" distB="0" distL="114300" distR="114300">
            <wp:extent cx="2181860" cy="1660525"/>
            <wp:effectExtent l="0" t="0" r="8890" b="15875"/>
            <wp:docPr id="20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pic:cNvPicPr>
                      <a:picLocks noChangeAspect="1" noChangeArrowheads="1"/>
                    </pic:cNvPicPr>
                  </pic:nvPicPr>
                  <pic:blipFill>
                    <a:blip r:embed="rId10" cstate="print"/>
                    <a:srcRect l="44267" t="21993" r="5996" b="55112"/>
                    <a:stretch>
                      <a:fillRect/>
                    </a:stretch>
                  </pic:blipFill>
                  <pic:spPr>
                    <a:xfrm>
                      <a:off x="0" y="0"/>
                      <a:ext cx="2181880" cy="1661019"/>
                    </a:xfrm>
                    <a:prstGeom prst="rect">
                      <a:avLst/>
                    </a:prstGeom>
                    <a:noFill/>
                    <a:ln w="9525">
                      <a:noFill/>
                      <a:miter lim="800000"/>
                      <a:headEnd/>
                      <a:tailEnd/>
                    </a:ln>
                  </pic:spPr>
                </pic:pic>
              </a:graphicData>
            </a:graphic>
          </wp:inline>
        </w:drawing>
      </w:r>
      <w:r>
        <w:drawing>
          <wp:inline distT="0" distB="0" distL="114300" distR="114300">
            <wp:extent cx="2093595" cy="1659255"/>
            <wp:effectExtent l="0" t="0" r="1905" b="17145"/>
            <wp:docPr id="2053" name="Picture 5" descr="I:\方案-2021\省农委\4个方案\2021-定稿-项目验收资料\验收准备材料\2021年水稻项目验收材料\图片-冯军\2021.4.16水稻拌种\IMG_20210416_1358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 name="Picture 5" descr="I:\方案-2021\省农委\4个方案\2021-定稿-项目验收资料\验收准备材料\2021年水稻项目验收材料\图片-冯军\2021.4.16水稻拌种\IMG_20210416_135856.jpg"/>
                    <pic:cNvPicPr>
                      <a:picLocks noChangeAspect="1" noChangeArrowheads="1"/>
                    </pic:cNvPicPr>
                  </pic:nvPicPr>
                  <pic:blipFill>
                    <a:blip r:embed="rId11" cstate="print"/>
                    <a:srcRect l="8198" t="7567" r="4340"/>
                    <a:stretch>
                      <a:fillRect/>
                    </a:stretch>
                  </pic:blipFill>
                  <pic:spPr>
                    <a:xfrm rot="10800000">
                      <a:off x="0" y="0"/>
                      <a:ext cx="2093595" cy="1659255"/>
                    </a:xfrm>
                    <a:prstGeom prst="rect">
                      <a:avLst/>
                    </a:prstGeom>
                    <a:noFill/>
                  </pic:spPr>
                </pic:pic>
              </a:graphicData>
            </a:graphic>
          </wp:inline>
        </w:drawing>
      </w:r>
    </w:p>
    <w:p>
      <w:pPr>
        <w:pStyle w:val="7"/>
        <w:numPr>
          <w:ilvl w:val="0"/>
          <w:numId w:val="0"/>
        </w:numPr>
        <w:tabs>
          <w:tab w:val="left" w:pos="3386"/>
        </w:tabs>
        <w:rPr>
          <w:rFonts w:hint="eastAsia" w:ascii="等线" w:hAnsi="等线" w:eastAsia="等线" w:cs="Times New Roman"/>
          <w:color w:val="000000"/>
          <w:kern w:val="2"/>
          <w:sz w:val="24"/>
          <w:szCs w:val="24"/>
          <w:lang w:val="en-US" w:eastAsia="zh-CN" w:bidi="ar-SA"/>
        </w:rPr>
      </w:pPr>
      <w:r>
        <w:rPr>
          <w:rFonts w:hint="eastAsia" w:ascii="等线" w:hAnsi="等线" w:eastAsia="等线" w:cs="Times New Roman"/>
          <w:color w:val="000000"/>
          <w:kern w:val="2"/>
          <w:sz w:val="24"/>
          <w:szCs w:val="24"/>
          <w:lang w:val="en-US" w:eastAsia="zh-CN" w:bidi="ar-SA"/>
        </w:rPr>
        <w:t>将种子倒入拌种机或拌种袋，加入拌种药液，充分搅拌，使药液均匀分布在种子上。将种子倒入拌种机或拌种袋，加入拌种药液，充分搅拌，使药液均匀分布在种子上。</w:t>
      </w:r>
    </w:p>
    <w:p>
      <w:pPr>
        <w:pStyle w:val="11"/>
        <w:ind w:left="0" w:leftChars="0" w:firstLine="0" w:firstLineChars="0"/>
      </w:pPr>
      <w:r>
        <w:drawing>
          <wp:inline distT="0" distB="0" distL="114300" distR="114300">
            <wp:extent cx="1776730" cy="1332865"/>
            <wp:effectExtent l="0" t="0" r="13970" b="63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12" cstate="print"/>
                    <a:srcRect/>
                    <a:stretch>
                      <a:fillRect/>
                    </a:stretch>
                  </pic:blipFill>
                  <pic:spPr>
                    <a:xfrm>
                      <a:off x="0" y="0"/>
                      <a:ext cx="1776730" cy="1332865"/>
                    </a:xfrm>
                    <a:prstGeom prst="rect">
                      <a:avLst/>
                    </a:prstGeom>
                    <a:noFill/>
                    <a:ln w="9525">
                      <a:noFill/>
                      <a:miter lim="800000"/>
                      <a:headEnd/>
                      <a:tailEnd/>
                    </a:ln>
                  </pic:spPr>
                </pic:pic>
              </a:graphicData>
            </a:graphic>
          </wp:inline>
        </w:drawing>
      </w:r>
      <w:r>
        <w:drawing>
          <wp:inline distT="0" distB="0" distL="114300" distR="114300">
            <wp:extent cx="1412240" cy="1404620"/>
            <wp:effectExtent l="0" t="0" r="16510" b="5080"/>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2"/>
                    <pic:cNvPicPr>
                      <a:picLocks noChangeAspect="1" noChangeArrowheads="1"/>
                    </pic:cNvPicPr>
                  </pic:nvPicPr>
                  <pic:blipFill>
                    <a:blip r:embed="rId13" cstate="print"/>
                    <a:srcRect/>
                    <a:stretch>
                      <a:fillRect/>
                    </a:stretch>
                  </pic:blipFill>
                  <pic:spPr>
                    <a:xfrm>
                      <a:off x="0" y="0"/>
                      <a:ext cx="1412240" cy="1404620"/>
                    </a:xfrm>
                    <a:prstGeom prst="rect">
                      <a:avLst/>
                    </a:prstGeom>
                    <a:noFill/>
                    <a:ln w="9525">
                      <a:noFill/>
                      <a:miter lim="800000"/>
                      <a:headEnd/>
                      <a:tailEnd/>
                    </a:ln>
                  </pic:spPr>
                </pic:pic>
              </a:graphicData>
            </a:graphic>
          </wp:inline>
        </w:drawing>
      </w:r>
    </w:p>
    <w:p>
      <w:pPr>
        <w:pStyle w:val="7"/>
        <w:numPr>
          <w:ilvl w:val="0"/>
          <w:numId w:val="0"/>
        </w:numPr>
        <w:tabs>
          <w:tab w:val="left" w:pos="3386"/>
        </w:tabs>
        <w:rPr>
          <w:rFonts w:hint="eastAsia" w:ascii="等线" w:hAnsi="等线" w:eastAsia="等线" w:cs="Times New Roman"/>
          <w:color w:val="000000"/>
          <w:kern w:val="2"/>
          <w:sz w:val="24"/>
          <w:szCs w:val="24"/>
          <w:lang w:val="en-US" w:eastAsia="zh-CN" w:bidi="ar-SA"/>
        </w:rPr>
      </w:pPr>
      <w:r>
        <w:rPr>
          <w:rFonts w:hint="eastAsia" w:ascii="等线" w:hAnsi="等线" w:eastAsia="等线" w:cs="Times New Roman"/>
          <w:color w:val="000000"/>
          <w:kern w:val="2"/>
          <w:sz w:val="24"/>
          <w:szCs w:val="24"/>
          <w:lang w:val="en-US" w:eastAsia="zh-CN" w:bidi="ar-SA"/>
        </w:rPr>
        <w:t>将经过三次清洗的空包装物放入专用回收桶。及时清洗防护用具和衣物并洗澡。</w:t>
      </w:r>
    </w:p>
    <w:p>
      <w:pPr>
        <w:pStyle w:val="7"/>
        <w:rPr>
          <w:rFonts w:hint="eastAsia"/>
          <w:lang w:eastAsia="zh-CN"/>
        </w:rPr>
      </w:pPr>
    </w:p>
    <w:p>
      <w:pPr>
        <w:pStyle w:val="11"/>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rPr>
          <w:rFonts w:hint="eastAsia"/>
          <w:lang w:eastAsia="zh-CN"/>
        </w:rPr>
      </w:pPr>
    </w:p>
    <w:p>
      <w:pPr>
        <w:bidi w:val="0"/>
        <w:jc w:val="center"/>
        <w:rPr>
          <w:rFonts w:hint="eastAsia"/>
          <w:lang w:eastAsia="zh-CN"/>
        </w:rPr>
      </w:pPr>
    </w:p>
    <w:sectPr>
      <w:pgSz w:w="11906" w:h="16838"/>
      <w:pgMar w:top="1418" w:right="1417" w:bottom="1418" w:left="1417" w:header="851" w:footer="992" w:gutter="0"/>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等线">
    <w:altName w:val="宋体"/>
    <w:panose1 w:val="02010600030101010101"/>
    <w:charset w:val="86"/>
    <w:family w:val="auto"/>
    <w:pitch w:val="default"/>
    <w:sig w:usb0="00000000" w:usb1="00000000" w:usb2="00000016" w:usb3="00000000" w:csb0="0004000F" w:csb1="00000000"/>
  </w:font>
  <w:font w:name="Cambria">
    <w:altName w:val="Noto Sans Syriac Eastern"/>
    <w:panose1 w:val="02040503050406030204"/>
    <w:charset w:val="00"/>
    <w:family w:val="roman"/>
    <w:pitch w:val="default"/>
    <w:sig w:usb0="00000000" w:usb1="00000000" w:usb2="00000000" w:usb3="00000000" w:csb0="2000019F" w:csb1="00000000"/>
  </w:font>
  <w:font w:name="Noto Sans Syriac Eastern">
    <w:panose1 w:val="02040503050306020203"/>
    <w:charset w:val="86"/>
    <w:family w:val="auto"/>
    <w:pitch w:val="default"/>
    <w:sig w:usb0="00000000" w:usb1="00000000" w:usb2="00000080" w:usb3="00000000" w:csb0="203E0161" w:csb1="D7FF0000"/>
  </w:font>
  <w:font w:name="微软雅黑">
    <w:altName w:val="黑体"/>
    <w:panose1 w:val="020B0503020204020204"/>
    <w:charset w:val="86"/>
    <w:family w:val="swiss"/>
    <w:pitch w:val="default"/>
    <w:sig w:usb0="00000000" w:usb1="00000000" w:usb2="00000016" w:usb3="00000000" w:csb0="0004001F" w:csb1="00000000"/>
  </w:font>
  <w:font w:name="方正小标宋_GBK">
    <w:panose1 w:val="03000509000000000000"/>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Noto Sans CJK JP Bold">
    <w:panose1 w:val="020B0800000000000000"/>
    <w:charset w:val="86"/>
    <w:family w:val="auto"/>
    <w:pitch w:val="default"/>
    <w:sig w:usb0="30000003" w:usb1="2BDF3C10" w:usb2="00000016" w:usb3="00000000" w:csb0="602E0107" w:csb1="00000000"/>
  </w:font>
  <w:font w:name="SimSun">
    <w:panose1 w:val="02010600030101010101"/>
    <w:charset w:val="86"/>
    <w:family w:val="auto"/>
    <w:pitch w:val="default"/>
    <w:sig w:usb0="00000003" w:usb1="080E0000" w:usb2="00000000" w:usb3="00000000" w:csb0="00040001" w:csb1="00000000"/>
  </w:font>
  <w:font w:name="方正仿宋_GBK">
    <w:panose1 w:val="02000000000000000000"/>
    <w:charset w:val="86"/>
    <w:family w:val="auto"/>
    <w:pitch w:val="default"/>
    <w:sig w:usb0="00000001" w:usb1="08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30557167"/>
    </w:sdtPr>
    <w:sdtContent>
      <w:p>
        <w:pPr>
          <w:pStyle w:val="5"/>
          <w:jc w:val="center"/>
        </w:pPr>
        <w:r>
          <w:fldChar w:fldCharType="begin"/>
        </w:r>
        <w:r>
          <w:instrText xml:space="preserve">PAGE   \* MERGEFORMAT</w:instrText>
        </w:r>
        <w:r>
          <w:fldChar w:fldCharType="separate"/>
        </w:r>
        <w:r>
          <w:rPr>
            <w:lang w:val="zh-CN"/>
          </w:rPr>
          <w:t>4</w:t>
        </w:r>
        <w:r>
          <w:fldChar w:fldCharType="end"/>
        </w:r>
      </w:p>
    </w:sdtContent>
  </w:sdt>
  <w:p>
    <w:pPr>
      <w:pStyle w:val="5"/>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6A71355"/>
    <w:multiLevelType w:val="singleLevel"/>
    <w:tmpl w:val="36A71355"/>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BreakWrappedTables/>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VkYjg2YjA2OGZhMzQzYzU5ZjhmY2U0MjA3OGNkZjQifQ=="/>
  </w:docVars>
  <w:rsids>
    <w:rsidRoot w:val="68DB5B03"/>
    <w:rsid w:val="00756C72"/>
    <w:rsid w:val="007D1718"/>
    <w:rsid w:val="00A901E2"/>
    <w:rsid w:val="00DB74FF"/>
    <w:rsid w:val="00F57B2D"/>
    <w:rsid w:val="01CD1252"/>
    <w:rsid w:val="026B16DE"/>
    <w:rsid w:val="0A504741"/>
    <w:rsid w:val="11F93B8B"/>
    <w:rsid w:val="1C1C0510"/>
    <w:rsid w:val="1EDEF43A"/>
    <w:rsid w:val="23AB4992"/>
    <w:rsid w:val="2476535F"/>
    <w:rsid w:val="274C29DB"/>
    <w:rsid w:val="2BCB5499"/>
    <w:rsid w:val="349D4460"/>
    <w:rsid w:val="37FF9846"/>
    <w:rsid w:val="3A811A7C"/>
    <w:rsid w:val="420610DF"/>
    <w:rsid w:val="46884147"/>
    <w:rsid w:val="4954227B"/>
    <w:rsid w:val="4AF43BDA"/>
    <w:rsid w:val="50E96FF7"/>
    <w:rsid w:val="51707932"/>
    <w:rsid w:val="5A5520DB"/>
    <w:rsid w:val="5F562442"/>
    <w:rsid w:val="60F216BA"/>
    <w:rsid w:val="653478C2"/>
    <w:rsid w:val="68DB5B03"/>
    <w:rsid w:val="6A174619"/>
    <w:rsid w:val="6BBE14D1"/>
    <w:rsid w:val="706E67DF"/>
    <w:rsid w:val="74C33D74"/>
    <w:rsid w:val="7B8418CA"/>
    <w:rsid w:val="7DE76E83"/>
    <w:rsid w:val="CF7FFD6D"/>
    <w:rsid w:val="D77EB6B4"/>
    <w:rsid w:val="DFFF6801"/>
    <w:rsid w:val="FEFF709E"/>
    <w:rsid w:val="FFF7A9B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semiHidden="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qFormat="1" w:unhideWhenUsed="0" w:uiPriority="99"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Times New Roman"/>
      <w:kern w:val="2"/>
      <w:sz w:val="21"/>
      <w:szCs w:val="22"/>
      <w:lang w:val="en-US" w:eastAsia="zh-CN" w:bidi="ar-SA"/>
    </w:rPr>
  </w:style>
  <w:style w:type="paragraph" w:styleId="2">
    <w:name w:val="heading 2"/>
    <w:basedOn w:val="1"/>
    <w:next w:val="1"/>
    <w:qFormat/>
    <w:uiPriority w:val="0"/>
    <w:pPr>
      <w:keepNext/>
      <w:keepLines/>
      <w:spacing w:before="260" w:after="260" w:line="416" w:lineRule="auto"/>
      <w:outlineLvl w:val="1"/>
    </w:pPr>
    <w:rPr>
      <w:rFonts w:ascii="Cambria" w:hAnsi="Cambria" w:eastAsia="宋体"/>
      <w:b/>
      <w:bCs/>
      <w:sz w:val="32"/>
      <w:szCs w:val="32"/>
    </w:rPr>
  </w:style>
  <w:style w:type="paragraph" w:styleId="3">
    <w:name w:val="heading 8"/>
    <w:basedOn w:val="1"/>
    <w:next w:val="1"/>
    <w:unhideWhenUsed/>
    <w:qFormat/>
    <w:uiPriority w:val="0"/>
    <w:pPr>
      <w:keepNext/>
      <w:keepLines/>
      <w:spacing w:before="240" w:after="64" w:line="320" w:lineRule="auto"/>
      <w:outlineLvl w:val="7"/>
    </w:pPr>
    <w:rPr>
      <w:rFonts w:ascii="Arial" w:hAnsi="Arial" w:eastAsia="黑体"/>
    </w:rPr>
  </w:style>
  <w:style w:type="character" w:default="1" w:styleId="9">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6"/>
    <w:qFormat/>
    <w:uiPriority w:val="0"/>
    <w:rPr>
      <w:sz w:val="18"/>
      <w:szCs w:val="18"/>
    </w:rPr>
  </w:style>
  <w:style w:type="paragraph" w:styleId="5">
    <w:name w:val="footer"/>
    <w:basedOn w:val="1"/>
    <w:unhideWhenUsed/>
    <w:qFormat/>
    <w:uiPriority w:val="99"/>
    <w:pPr>
      <w:tabs>
        <w:tab w:val="center" w:pos="4153"/>
        <w:tab w:val="right" w:pos="8306"/>
      </w:tabs>
      <w:snapToGrid w:val="0"/>
      <w:jc w:val="left"/>
    </w:pPr>
    <w:rPr>
      <w:sz w:val="18"/>
      <w:szCs w:val="18"/>
    </w:rPr>
  </w:style>
  <w:style w:type="paragraph" w:styleId="6">
    <w:name w:val="index 9"/>
    <w:basedOn w:val="1"/>
    <w:next w:val="1"/>
    <w:qFormat/>
    <w:uiPriority w:val="99"/>
    <w:pPr>
      <w:ind w:left="1600" w:leftChars="1600"/>
    </w:pPr>
  </w:style>
  <w:style w:type="paragraph" w:styleId="7">
    <w:name w:val="Normal (Web)"/>
    <w:basedOn w:val="1"/>
    <w:next w:val="6"/>
    <w:qFormat/>
    <w:uiPriority w:val="99"/>
    <w:pPr>
      <w:spacing w:before="100" w:beforeAutospacing="1" w:after="100" w:afterAutospacing="1" w:line="360" w:lineRule="auto"/>
    </w:pPr>
    <w:rPr>
      <w:rFonts w:eastAsia="宋体"/>
      <w:color w:val="000000"/>
      <w:sz w:val="28"/>
      <w:szCs w:val="28"/>
    </w:rPr>
  </w:style>
  <w:style w:type="character" w:styleId="10">
    <w:name w:val="Hyperlink"/>
    <w:basedOn w:val="9"/>
    <w:unhideWhenUsed/>
    <w:qFormat/>
    <w:uiPriority w:val="99"/>
    <w:rPr>
      <w:color w:val="0563C1" w:themeColor="hyperlink"/>
      <w:u w:val="single"/>
      <w14:textFill>
        <w14:solidFill>
          <w14:schemeClr w14:val="hlink"/>
        </w14:solidFill>
      </w14:textFill>
    </w:rPr>
  </w:style>
  <w:style w:type="paragraph" w:customStyle="1" w:styleId="11">
    <w:name w:val="正文-公1"/>
    <w:basedOn w:val="12"/>
    <w:next w:val="7"/>
    <w:qFormat/>
    <w:uiPriority w:val="0"/>
    <w:pPr>
      <w:ind w:firstLine="200" w:firstLineChars="200"/>
    </w:pPr>
    <w:rPr>
      <w:rFonts w:ascii="Times New Roman" w:hAnsi="Times New Roman"/>
    </w:rPr>
  </w:style>
  <w:style w:type="paragraph" w:customStyle="1" w:styleId="12">
    <w:name w:val="正文 New"/>
    <w:qFormat/>
    <w:uiPriority w:val="0"/>
    <w:pPr>
      <w:widowControl w:val="0"/>
      <w:jc w:val="both"/>
    </w:pPr>
    <w:rPr>
      <w:rFonts w:ascii="Calibri" w:hAnsi="Calibri" w:eastAsia="宋体" w:cs="Times New Roman"/>
      <w:kern w:val="2"/>
      <w:sz w:val="21"/>
      <w:szCs w:val="24"/>
      <w:lang w:val="en-US" w:eastAsia="zh-CN" w:bidi="ar-SA"/>
    </w:rPr>
  </w:style>
  <w:style w:type="paragraph" w:customStyle="1" w:styleId="13">
    <w:name w:val="引文目录1"/>
    <w:basedOn w:val="1"/>
    <w:next w:val="1"/>
    <w:qFormat/>
    <w:uiPriority w:val="0"/>
    <w:pPr>
      <w:ind w:left="420" w:leftChars="200"/>
    </w:pPr>
    <w:rPr>
      <w:rFonts w:ascii="Calibri" w:hAnsi="Calibri"/>
    </w:rPr>
  </w:style>
  <w:style w:type="paragraph" w:customStyle="1" w:styleId="14">
    <w:name w:val="paragraph"/>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15">
    <w:name w:val="模板标题3"/>
    <w:basedOn w:val="3"/>
    <w:qFormat/>
    <w:uiPriority w:val="0"/>
    <w:pPr>
      <w:keepNext w:val="0"/>
      <w:keepLines w:val="0"/>
      <w:suppressLineNumbers/>
      <w:spacing w:line="300" w:lineRule="auto"/>
      <w:jc w:val="left"/>
    </w:pPr>
    <w:rPr>
      <w:rFonts w:ascii="微软雅黑" w:hAnsi="微软雅黑" w:eastAsia="微软雅黑" w:cs="微软雅黑"/>
      <w:szCs w:val="21"/>
    </w:rPr>
  </w:style>
  <w:style w:type="character" w:customStyle="1" w:styleId="16">
    <w:name w:val="批注框文本 Char"/>
    <w:basedOn w:val="9"/>
    <w:link w:val="4"/>
    <w:qFormat/>
    <w:uiPriority w:val="0"/>
    <w:rPr>
      <w:rFonts w:ascii="等线" w:hAnsi="等线" w:eastAsia="等线"/>
      <w:kern w:val="2"/>
      <w:sz w:val="18"/>
      <w:szCs w:val="18"/>
    </w:rPr>
  </w:style>
  <w:style w:type="paragraph" w:customStyle="1" w:styleId="17">
    <w:name w:val="TableOfAuthoring"/>
    <w:basedOn w:val="12"/>
    <w:next w:val="1"/>
    <w:qFormat/>
    <w:uiPriority w:val="0"/>
    <w:pPr>
      <w:ind w:left="420" w:leftChars="200"/>
      <w:jc w:val="both"/>
      <w:textAlignment w:val="baseline"/>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6</Pages>
  <Words>2896</Words>
  <Characters>3313</Characters>
  <Lines>23</Lines>
  <Paragraphs>6</Paragraphs>
  <TotalTime>1</TotalTime>
  <ScaleCrop>false</ScaleCrop>
  <LinksUpToDate>false</LinksUpToDate>
  <CharactersWithSpaces>3314</CharactersWithSpaces>
  <Application>WPS Office_11.8.2.12313_F1E327BC-269C-435d-A152-05C5408002CA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2023-02-15T05:55:00Z</dcterms:created>
  <dc:creator>谈孝凤（可掬的水草）</dc:creator>
  <cp:lastModifiedBy>ysgz</cp:lastModifiedBy>
  <dcterms:modified xsi:type="dcterms:W3CDTF">2025-01-09T19:46:03Z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2052-11.8.2.12313</vt:lpwstr>
  </property>
  <property fmtid="{D5CDD505-2E9C-101B-9397-08002B2CF9AE}" pid="3" name="ICV">
    <vt:lpwstr>A491D68D65A84D47828B3B02DA3C44DF</vt:lpwstr>
  </property>
</Properties>
</file>