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20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年贵州省农业主推技术</w:t>
      </w:r>
    </w:p>
    <w:p>
      <w:pPr>
        <w:snapToGrid w:val="0"/>
        <w:spacing w:line="560" w:lineRule="exact"/>
        <w:ind w:firstLine="880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>
      <w:pPr>
        <w:snapToGrid w:val="0"/>
        <w:spacing w:line="560" w:lineRule="exact"/>
        <w:ind w:firstLine="880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稻油轮作周年高产高效栽培技术</w:t>
      </w:r>
    </w:p>
    <w:p>
      <w:pPr>
        <w:snapToGrid w:val="0"/>
        <w:spacing w:line="560" w:lineRule="exact"/>
        <w:ind w:firstLine="880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sz w:val="32"/>
          <w:szCs w:val="32"/>
        </w:rPr>
        <w:t>摘要：</w:t>
      </w:r>
      <w:r>
        <w:rPr>
          <w:rFonts w:hint="eastAsia" w:ascii="Times New Roman" w:hAnsi="Times New Roman" w:eastAsia="仿宋_GB2312"/>
          <w:sz w:val="28"/>
          <w:szCs w:val="28"/>
        </w:rPr>
        <w:t>针对贵州稻油轮作传统模式生产中普遍存在光温资源利用不充分、季节间分配不合理、自然灾害频发、农机农艺不配套、周年肥水药投入量大等一系列问题，结合不同海拔区温光资源约束特征，从茬口衔接与品种搭配、水稻和油菜高产高效种植技术要点等方面，化水稻、油菜品种搭配，通过调控生育进程提高温光资源利用效率，解决茬口衔接难题。该技术在我省湄潭、兴义、思南、西秀、平坝、长顺、规定等地大面积推广应用，其中在兴义市万峰林街道推广的稻油轮作技术核心示范，水稻平均亩产达750公斤以上、油菜亩产达130公斤以上；在贵定县盘江镇推广的稻油轮作技术核心示范，水稻平均亩产达650公斤以上、油菜亩产达150公斤以上；实现了稻油双增产。该技术可实现水稻增产10%以上、油菜增产5%以上，改善土壤肥力，降低水稻生长季的肥料用量15%左右，肥料利用率提高20%以上，显著降低病虫害发生，降低农药用量10%以上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一、技术概述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楷体_GB2312"/>
          <w:sz w:val="28"/>
          <w:szCs w:val="28"/>
        </w:rPr>
      </w:pPr>
      <w:r>
        <w:rPr>
          <w:rFonts w:ascii="楷体_GB2312" w:hAnsi="楷体_GB2312" w:eastAsia="楷体_GB2312" w:cs="楷体_GB2312"/>
          <w:sz w:val="32"/>
          <w:szCs w:val="32"/>
        </w:rPr>
        <w:t>（一）基本情况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水稻是贵州第一大口粮作物，油菜是贵州第一大油料作物，稻油轮作模式一直是贵州推广面积最广的稻田轮作模式。然而，该地区传统生产中普遍存在温光资源利用不充分、季节间分配不合理、自然灾害频发、农机农艺不配套、周年肥水药投入量大等一系列难题。该技术以稻油周年高产高效为目标，以温光资源优化利用为突破口，根据我省低、中、高海拔生态区温光资源约束特点，分别优化水稻、油菜品种搭配，通过调控生育进程提高温光资源利用效率，解决茬口衔接难题；通过农机农艺融合，提高水稻和油菜种植效率以及秸秆还田；建立了肥药减量施用技术，提高了肥药利用效率。通过技术集成，实现稻油轮作周年高产高效。</w:t>
      </w:r>
    </w:p>
    <w:p>
      <w:pPr>
        <w:snapToGrid w:val="0"/>
        <w:spacing w:line="560" w:lineRule="exact"/>
        <w:ind w:firstLine="640"/>
        <w:rPr>
          <w:rFonts w:ascii="Times New Roman" w:hAnsi="Times New Roman" w:eastAsia="楷体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（二）推广应用情况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农业农村部耕地轮作项目、贵州省粮油绿色高产高效示范推广项目等项目资助下，该技术在我省湄潭、兴义、思南、西秀、平坝、长顺、规定等地大面积推广应用，其中在兴义市万峰林街道推广的稻油轮作技术核心示范，水稻平均亩产达750公斤以上、油菜亩产达130公斤以上；在贵定县盘江镇推广的稻油轮作技术核心示范，水稻平均亩产达650公斤以上、油菜亩产达150公斤以上；实现了稻油双增产。</w:t>
      </w:r>
    </w:p>
    <w:p>
      <w:pPr>
        <w:snapToGrid w:val="0"/>
        <w:spacing w:line="60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ascii="楷体_GB2312" w:hAnsi="楷体_GB2312" w:eastAsia="楷体_GB2312" w:cs="楷体_GB2312"/>
          <w:sz w:val="32"/>
          <w:szCs w:val="32"/>
        </w:rPr>
        <w:t>（三）提质增效情况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与传统稻油轮作种植相比，稻油轮作周年高产高效栽培技术实现水稻增产10%以上、油菜增产5%以上，改善土壤肥力，降低水稻生长季的肥料用量15%左右，肥料利用率提高20%以上，显著降低病虫害发生，降低农药用量10%以上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（四）获奖情况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该技术未申报科技奖励。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ascii="Times New Roman" w:hAnsi="Times New Roman" w:eastAsia="黑体"/>
          <w:bCs/>
          <w:sz w:val="32"/>
          <w:szCs w:val="32"/>
        </w:rPr>
        <w:t>二、技术要点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（一）茬口衔接与品种搭配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低海拔区（海拔600米以下）：“双晚”模式。选择耐热性和抗倒性较好的中晚熟优质稻品种，4月上旬播种，5月中旬移栽，9月中旬前完成收获；选择生育期中晚熟油菜品种，9月初育苗，9月下旬移栽，次年5月上旬前完成收获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中海拔区（海拔600-1200米）：“晚早”模式。选择生育期中晚熟优质稻品种，4月上旬播种，5月中旬移栽，9月中旬前完成收获；选择生育期中早熟油菜品种，9月初育苗，9月下旬移栽，次年5月上旬前完成收获。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高海拔区（海拔1200米以上）：“双早”模式。选择耐寒性较好的中早熟优质稻品种，4月上旬播种，5月中旬移栽，9月中旬前完成收获；选择生育期中早熟油菜品种，9月初育苗，9月下旬移栽，次年5月上旬前完成收获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（二）水稻高产高效种植技术要点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1.培育带蘖壮秧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可采取湿润育秧、旱育秧和钵盘育秧等方式培育壮秧。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采取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湿润育秧和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旱育秧方式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：注意做好厢面除草、培肥和整平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种子经过消毒、浸泡、催芽露白即可播种，播种时要稀播匀播，盖土后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覆盖拱膜，根据气温揭膜炼苗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，2叶1心时施断奶肥，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移栽前3-5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天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施用尿素作送嫁肥，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每平方米施用尿素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10-15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克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采用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塑料钵盘育秧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方式：每孔播种2-3粒，按照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播底土—播种—覆土—洒水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等程序，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暗化3-5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天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后并排放于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厢面，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摆盘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后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灌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平沟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水，无纺布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盖膜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。1叶期每百张秧盘可用15%多效唑粉剂6g兑水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均匀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喷施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，控制苗高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。2叶期前秧田坚持湿润灌溉。揭膜后每盘施用4g复合肥。3叶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4叶期水分旱管。移栽前2-3d施用送嫁肥。</w:t>
      </w:r>
    </w:p>
    <w:p>
      <w:pPr>
        <w:spacing w:line="360" w:lineRule="auto"/>
        <w:ind w:firstLine="640"/>
        <w:jc w:val="center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drawing>
          <wp:inline distT="0" distB="0" distL="0" distR="0">
            <wp:extent cx="2073275" cy="2139950"/>
            <wp:effectExtent l="0" t="0" r="3175" b="12700"/>
            <wp:docPr id="2" name="图片 2" descr="照片 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照片 05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73275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color w:val="000000"/>
          <w:sz w:val="32"/>
          <w:szCs w:val="32"/>
        </w:rPr>
        <w:drawing>
          <wp:inline distT="0" distB="0" distL="0" distR="0">
            <wp:extent cx="2409825" cy="2145030"/>
            <wp:effectExtent l="0" t="0" r="9525" b="7620"/>
            <wp:docPr id="6451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7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600" w:lineRule="exact"/>
        <w:ind w:firstLine="560" w:firstLineChars="200"/>
        <w:jc w:val="center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图1 水稻旱育壮秧（左）和钵苗壮秧（右）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2.合理移栽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按照品种的分蘖类型与不同海拔区确定基本苗与移栽密度。推荐采取宽窄行移栽方式，低海拔区栽插密度1.0-1.1万/亩，其规格为宽行40厘米，窄行20厘米，株距20厘米，等行距移栽的行距为30厘米。中海拔区栽插密度1.3万左右/亩，其规格为宽行40厘米，窄行20厘米，株距16.7厘米，等行距移栽的行距为30厘米。高海拔区栽插密度为1.4-1.5万/亩，其规格为宽行36.7厘米，窄行20厘米，株距16.7厘米，等行距移栽的行距为28厘米。</w:t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drawing>
          <wp:inline distT="0" distB="0" distL="114300" distR="114300">
            <wp:extent cx="2393950" cy="2291080"/>
            <wp:effectExtent l="0" t="0" r="6350" b="13970"/>
            <wp:docPr id="4" name="图片 4" descr="38a9d885e4bdc8abf4da7db5d3047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8a9d885e4bdc8abf4da7db5d3047d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229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/>
          <w:color w:val="FF0000"/>
          <w:sz w:val="32"/>
          <w:szCs w:val="32"/>
        </w:rPr>
        <w:drawing>
          <wp:inline distT="0" distB="0" distL="0" distR="0">
            <wp:extent cx="2171700" cy="2300605"/>
            <wp:effectExtent l="0" t="0" r="0" b="4445"/>
            <wp:docPr id="5" name="图片 2" descr="E:\2019\Camera\IMG_20190507_165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E:\2019\Camera\IMG_20190507_1656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300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图2宽窄行拉绳打点人工移栽（左）及宽窄行钵苗机插（右）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3.田间管理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（1）肥水调控。 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氮肥纯氮总量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10公斤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/亩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，降低基蘖肥比例，氮素前肥后移作穗肥。氮素基蘖肥占40-50%，其中基肥和分蘖肥各占50%。氮、磷、钾的优化配方为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N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K=1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0.5</w:t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（0.5-0.7），磷肥作为基肥一次施用，钾肥分基肥和穗肥2次施用，各占50%。水分管理按照“薄-晒-浅-湿”进行管理，薄水插秧，无效分蘖期晒田控苗，拔节孕穗期保证浅水层，抽穗至灌浆成熟期保持干湿交替灌溉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（2）病虫草防治害。 坚持“预防为主，综合防治”的方针。水稻分蘖期重点防治稻飞虱、稻纵卷叶螟，水稻破口抽穗前注意防治稻曲病，在水稻破口期和齐穗期选用三环唑等喷雾防治稻瘟病，抽穗后用井冈霉素等防治纹枯病；同时防治稻飞虱、二化螟和稻纵卷叶螟等虫害。</w:t>
      </w:r>
    </w:p>
    <w:p>
      <w:pPr>
        <w:snapToGrid w:val="0"/>
        <w:spacing w:line="56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（三）油菜高产高效种植技术要点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1.品种选择  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根据海拔高度选择中晚熟优质油菜品种油研50、黔油31号、黔油32号等，中早熟油菜品种宝油早12、黔油早1号、黔油早2号、黔油17号、油研早18等。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2.适期播种 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采用育苗移栽或直播栽培的种植方式。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育苗移栽。开厢挖沟，精整苗床。底肥均匀撒施有机肥2000kg/亩和磷肥25kg/亩。适时播种，培育壮苗。中晚熟油菜品种于9月10日左右播种，早熟油菜品种于9月20日左右播种。1-2叶期间苗，亩施1000kg清粪水加尿素5kg；3-4叶期2次间苗，亩用15%多效唑可湿性粉剂50g对水50kg喷雾；移栽前7-10d用清粪水或亩用3-4kg尿素对水浇淋，并亩用0.4%硼砂溶液50kg喷雾。及时移栽，合理密植。苗龄30-35d，5-6片叶时移栽，移栽前1d苗床浇透水，以便扯苗不伤根。大田亩施清粪水1000-1500kg加尿素2kg作定根肥。移栽密度4000-6000株/亩，行距0.5m，窝距0.22-0.33m，单株移栽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3562350</wp:posOffset>
            </wp:positionH>
            <wp:positionV relativeFrom="paragraph">
              <wp:posOffset>20320</wp:posOffset>
            </wp:positionV>
            <wp:extent cx="1770380" cy="1346835"/>
            <wp:effectExtent l="0" t="0" r="1270" b="5715"/>
            <wp:wrapTopAndBottom/>
            <wp:docPr id="8" name="图片 8" descr="02ecf4ee65ef6718f9dfa083136f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02ecf4ee65ef6718f9dfa083136f5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1346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19685</wp:posOffset>
            </wp:positionV>
            <wp:extent cx="1790065" cy="1342390"/>
            <wp:effectExtent l="0" t="0" r="635" b="10160"/>
            <wp:wrapTopAndBottom/>
            <wp:docPr id="7" name="图片 7" descr="ac638e4729b668c731831a041b3bd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c638e4729b668c731831a041b3bd1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0065" cy="13423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8255</wp:posOffset>
            </wp:positionH>
            <wp:positionV relativeFrom="paragraph">
              <wp:posOffset>19050</wp:posOffset>
            </wp:positionV>
            <wp:extent cx="1811020" cy="1357630"/>
            <wp:effectExtent l="0" t="0" r="17780" b="13970"/>
            <wp:wrapTopAndBottom/>
            <wp:docPr id="9" name="图片 9" descr="a0ea12d884fb60b4f2a7a14ab28a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0ea12d884fb60b4f2a7a14ab28a2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102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图5苗床育苗（左）、及时移栽（中）和返青成活（右）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直播栽培。①翻耕直播，精细整地，施足底肥。开好中沟、厢沟、边沟，亩施腐熟有机肥1000kg或复合肥50kg，硼砂1kg作为底肥。油菜直播较移栽延迟播期10-15d，中晚熟品种播期应早于早熟品种。种植密度一般为2.5万株/亩，亩用种量400g。②免耕直播，开沟作畦，施足底肥。播种前3-5d，亩用10%草甘膦500ml对水40kg喷雾扑杀免耕稻田杂草。播种覆土后，亩用50%乙草胺50-75ml或60%丁草胺100ml对水40kg喷施封闭土壤。亩施尿素10kg、过磷酸钙40kg、氯化钾8kg、硼肥1kg，或专用缓控释复合肥50kg作底肥。一般每亩留苗2-3万株，亩播种量300-400g为宜。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3.田间管理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科学施肥。施足底肥，平衡施肥。基肥每亩施有机肥1500-2000kg，钙镁磷肥50kg，氯化钾10kg,硼砂1kg；追肥移栽种植在移栽返青成活后，直播种植在2-3片真叶时进行，亩施尿素5-10kg；直播栽培第2次追肥在定苗后进行，每亩施尿素5-10kg；两种种植方式在油菜薹高10cm，可根据油菜长势亩施尿素5-10kg，氯化钾2-3kg。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病虫草害防治。种植前3-5d，用高效氟吡甲禾灵、草甘膦、乙草胺等喷雾封闭除草；苗期用吡氟氯禾灵或精喹禾灵防止杂草。危害油菜的害虫主要有跳甲、蟋蟀、菜青虫、小菜蛾和蚜虫等，用吡虫啉、溴氰菊酯、高效氯氟氰菊酯等轮换用药防治。危害油菜的病害主要有病毒病、菌核病、霜霉病、白锈病、白粉病等，用盐酸吗啉胍、氨基寡糖素喷施防治病毒病；用多菌灵、百菌清、咪鲜胺等防治菌核病；化学防治霉霜病和白锈病的常用药剂有烯酰吗啉、甲霜灵、百菌清、甲基硫菌灵等；白粉病发病初期，选用三唑酮、烯唑醇、多菌灵喷施防治。</w:t>
      </w:r>
    </w:p>
    <w:p>
      <w:pPr>
        <w:snapToGrid w:val="0"/>
        <w:spacing w:line="600" w:lineRule="exact"/>
        <w:ind w:firstLine="562" w:firstLineChars="200"/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4.适时收获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于翌年5月上旬收获。油菜终花后30d左右，当全株2/3的角果呈黄绿色，主轴基部角果呈枇杷色，种皮呈黑褐色，分支上部尚有1/3的角果仍显绿色，为适宜收割期，抢抓晴天及时收割。一次性机械收获可推迟5-8d。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三、</w:t>
      </w:r>
      <w:r>
        <w:rPr>
          <w:rFonts w:ascii="Times New Roman" w:hAnsi="Times New Roman" w:eastAsia="黑体" w:cs="Times New Roman"/>
          <w:sz w:val="32"/>
          <w:szCs w:val="32"/>
        </w:rPr>
        <w:t>适宜区域</w:t>
      </w:r>
      <w:bookmarkStart w:id="0" w:name="_GoBack"/>
      <w:bookmarkEnd w:id="0"/>
    </w:p>
    <w:p>
      <w:pPr>
        <w:snapToGrid w:val="0"/>
        <w:spacing w:line="600" w:lineRule="exact"/>
        <w:ind w:firstLine="56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本技术适用于我省水源充足、排灌方便的稻田。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</w:rPr>
        <w:t>四、</w:t>
      </w:r>
      <w:r>
        <w:rPr>
          <w:rFonts w:ascii="Times New Roman" w:hAnsi="Times New Roman" w:eastAsia="黑体" w:cs="Times New Roman"/>
          <w:sz w:val="32"/>
          <w:szCs w:val="32"/>
        </w:rPr>
        <w:t>注意事项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要注意水稻、油菜品种搭配，合理安排茬口衔接，水稻要保证在9月中下旬完成收获，油菜保证在5月上旬完成收获。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五、技术</w:t>
      </w:r>
      <w:r>
        <w:rPr>
          <w:rFonts w:ascii="Times New Roman" w:hAnsi="Times New Roman" w:eastAsia="黑体"/>
          <w:bCs/>
          <w:sz w:val="32"/>
          <w:szCs w:val="32"/>
        </w:rPr>
        <w:t>依托</w:t>
      </w: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</w:rPr>
        <w:t>单位名称：</w:t>
      </w:r>
      <w:r>
        <w:rPr>
          <w:rFonts w:ascii="仿宋_GB2312" w:hAnsi="仿宋" w:eastAsia="仿宋_GB2312" w:cs="宋体"/>
          <w:sz w:val="28"/>
          <w:szCs w:val="28"/>
        </w:rPr>
        <w:t>贵州省</w:t>
      </w:r>
      <w:r>
        <w:rPr>
          <w:rFonts w:hint="eastAsia" w:ascii="仿宋_GB2312" w:hAnsi="仿宋" w:eastAsia="仿宋_GB2312" w:cs="宋体"/>
          <w:sz w:val="28"/>
          <w:szCs w:val="28"/>
        </w:rPr>
        <w:t>水稻研究所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联系地址：贵阳市小河经开区省农科院内水稻所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邮政编码：550006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 系 人：姬广梅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联系电话：13595138683</w:t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  <w:r>
        <w:rPr>
          <w:rFonts w:hint="eastAsia" w:ascii="仿宋_GB2312" w:hAnsi="仿宋" w:eastAsia="仿宋_GB2312" w:cs="宋体"/>
          <w:sz w:val="28"/>
          <w:szCs w:val="28"/>
        </w:rPr>
        <w:t>电子邮箱：</w:t>
      </w:r>
      <w:r>
        <w:fldChar w:fldCharType="begin"/>
      </w:r>
      <w:r>
        <w:instrText xml:space="preserve"> HYPERLINK "mailto:418300092@qq.com" </w:instrText>
      </w:r>
      <w:r>
        <w:fldChar w:fldCharType="separate"/>
      </w:r>
      <w:r>
        <w:rPr>
          <w:rFonts w:hint="eastAsia" w:ascii="仿宋_GB2312" w:hAnsi="仿宋" w:eastAsia="仿宋_GB2312" w:cs="宋体"/>
          <w:sz w:val="28"/>
          <w:szCs w:val="28"/>
        </w:rPr>
        <w:t>418300092@qq.com</w:t>
      </w:r>
      <w:r>
        <w:rPr>
          <w:rFonts w:hint="eastAsia" w:ascii="仿宋_GB2312" w:hAnsi="仿宋" w:eastAsia="仿宋_GB2312" w:cs="宋体"/>
          <w:sz w:val="28"/>
          <w:szCs w:val="28"/>
        </w:rPr>
        <w:fldChar w:fldCharType="end"/>
      </w:r>
    </w:p>
    <w:p>
      <w:pPr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" w:eastAsia="仿宋_GB2312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292654"/>
    </w:sdtPr>
    <w:sdtEndPr>
      <w:rPr>
        <w:rFonts w:ascii="Times New Roman" w:hAnsi="Times New Roman" w:cs="Times New Roman"/>
      </w:rPr>
    </w:sdtEndPr>
    <w:sdtContent>
      <w:p>
        <w:pPr>
          <w:pStyle w:val="2"/>
          <w:ind w:firstLine="360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6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yNzE3ZGE2ZWY2MzUzOGQwZDcwN2JiZjlmMDA2OTMifQ=="/>
  </w:docVars>
  <w:rsids>
    <w:rsidRoot w:val="47307FD9"/>
    <w:rsid w:val="0004160A"/>
    <w:rsid w:val="00041C11"/>
    <w:rsid w:val="00045F51"/>
    <w:rsid w:val="00454252"/>
    <w:rsid w:val="00567F68"/>
    <w:rsid w:val="00646A0F"/>
    <w:rsid w:val="00652741"/>
    <w:rsid w:val="00741A06"/>
    <w:rsid w:val="007B6D9B"/>
    <w:rsid w:val="00883384"/>
    <w:rsid w:val="0089189B"/>
    <w:rsid w:val="009E273F"/>
    <w:rsid w:val="00B05924"/>
    <w:rsid w:val="00B61361"/>
    <w:rsid w:val="00D407DD"/>
    <w:rsid w:val="00DC19CB"/>
    <w:rsid w:val="00DC6D60"/>
    <w:rsid w:val="00E6723B"/>
    <w:rsid w:val="00F42F5B"/>
    <w:rsid w:val="00F70339"/>
    <w:rsid w:val="00F940A5"/>
    <w:rsid w:val="00FA2210"/>
    <w:rsid w:val="00FD7861"/>
    <w:rsid w:val="01017684"/>
    <w:rsid w:val="015E0632"/>
    <w:rsid w:val="0611727F"/>
    <w:rsid w:val="07C856A7"/>
    <w:rsid w:val="0D2B1B5E"/>
    <w:rsid w:val="0D464B42"/>
    <w:rsid w:val="0D742F37"/>
    <w:rsid w:val="0F264E85"/>
    <w:rsid w:val="10222691"/>
    <w:rsid w:val="10AF2C58"/>
    <w:rsid w:val="10C55FD8"/>
    <w:rsid w:val="114C04A7"/>
    <w:rsid w:val="11FA7F03"/>
    <w:rsid w:val="12840708"/>
    <w:rsid w:val="13620456"/>
    <w:rsid w:val="14045069"/>
    <w:rsid w:val="14096B23"/>
    <w:rsid w:val="166E7BB2"/>
    <w:rsid w:val="174D4F79"/>
    <w:rsid w:val="189F35B2"/>
    <w:rsid w:val="1B0B4F2F"/>
    <w:rsid w:val="1CC024F9"/>
    <w:rsid w:val="20BD34C4"/>
    <w:rsid w:val="20FB5A46"/>
    <w:rsid w:val="214E5B76"/>
    <w:rsid w:val="23BF0FAD"/>
    <w:rsid w:val="24246079"/>
    <w:rsid w:val="24D32F62"/>
    <w:rsid w:val="291E49C7"/>
    <w:rsid w:val="29C15A7E"/>
    <w:rsid w:val="2A094D30"/>
    <w:rsid w:val="2B365FF8"/>
    <w:rsid w:val="2CEB6984"/>
    <w:rsid w:val="2F4800A8"/>
    <w:rsid w:val="309D08C8"/>
    <w:rsid w:val="319B4E07"/>
    <w:rsid w:val="3716519F"/>
    <w:rsid w:val="380354B4"/>
    <w:rsid w:val="383D21D3"/>
    <w:rsid w:val="38B14F10"/>
    <w:rsid w:val="3A9D0CCA"/>
    <w:rsid w:val="3AAF1923"/>
    <w:rsid w:val="3B895CD0"/>
    <w:rsid w:val="3D2959BD"/>
    <w:rsid w:val="3EDF63F2"/>
    <w:rsid w:val="4093314D"/>
    <w:rsid w:val="43F660EB"/>
    <w:rsid w:val="44C94F38"/>
    <w:rsid w:val="45D40490"/>
    <w:rsid w:val="47307FD9"/>
    <w:rsid w:val="486D24D6"/>
    <w:rsid w:val="4A3E412A"/>
    <w:rsid w:val="4ABF7E3D"/>
    <w:rsid w:val="4CC02A45"/>
    <w:rsid w:val="4D357738"/>
    <w:rsid w:val="4DF3347D"/>
    <w:rsid w:val="4E0F475B"/>
    <w:rsid w:val="53D14261"/>
    <w:rsid w:val="55A51501"/>
    <w:rsid w:val="58694D27"/>
    <w:rsid w:val="58A52151"/>
    <w:rsid w:val="5B2D0589"/>
    <w:rsid w:val="5BE07737"/>
    <w:rsid w:val="5BE508A9"/>
    <w:rsid w:val="5D017965"/>
    <w:rsid w:val="5D184CAE"/>
    <w:rsid w:val="5E1239D4"/>
    <w:rsid w:val="60066979"/>
    <w:rsid w:val="608752DA"/>
    <w:rsid w:val="630737FB"/>
    <w:rsid w:val="6410048D"/>
    <w:rsid w:val="64874BF3"/>
    <w:rsid w:val="65824327"/>
    <w:rsid w:val="665B137A"/>
    <w:rsid w:val="68953657"/>
    <w:rsid w:val="69C918AA"/>
    <w:rsid w:val="6E7D0256"/>
    <w:rsid w:val="6E8E6B7E"/>
    <w:rsid w:val="6EBC693B"/>
    <w:rsid w:val="6FAA79E8"/>
    <w:rsid w:val="71E61E59"/>
    <w:rsid w:val="7487672B"/>
    <w:rsid w:val="75321A53"/>
    <w:rsid w:val="75874327"/>
    <w:rsid w:val="75C91276"/>
    <w:rsid w:val="76426BCC"/>
    <w:rsid w:val="76653BC3"/>
    <w:rsid w:val="7A7FF5E4"/>
    <w:rsid w:val="7AE34C8A"/>
    <w:rsid w:val="7BDD17B9"/>
    <w:rsid w:val="7E7D572D"/>
    <w:rsid w:val="DF5D8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577</Words>
  <Characters>3293</Characters>
  <Lines>27</Lines>
  <Paragraphs>7</Paragraphs>
  <TotalTime>2</TotalTime>
  <ScaleCrop>false</ScaleCrop>
  <LinksUpToDate>false</LinksUpToDate>
  <CharactersWithSpaces>3863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2023-12-26T22:13:00Z</dcterms:created>
  <dc:creator>汪妍</dc:creator>
  <cp:lastModifiedBy>ysgz</cp:lastModifiedBy>
  <cp:lastPrinted>2024-10-22T22:54:00Z</cp:lastPrinted>
  <dcterms:modified xsi:type="dcterms:W3CDTF">2025-01-22T19:43:35Z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3802243CB1C34EB8A36FCD80570B2488_13</vt:lpwstr>
  </property>
</Properties>
</file>