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spacing w:line="400" w:lineRule="exact"/>
        <w:jc w:val="left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sz w:val="21"/>
          <w:szCs w:val="21"/>
        </w:rPr>
        <w:t>202</w:t>
      </w:r>
      <w:r>
        <w:rPr>
          <w:rFonts w:hint="eastAsia" w:ascii="宋体" w:hAnsi="宋体" w:cs="宋体"/>
          <w:color w:val="000000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年贵州省农业主推技术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400" w:lineRule="exact"/>
        <w:jc w:val="center"/>
        <w:textAlignment w:val="auto"/>
        <w:rPr>
          <w:rFonts w:hint="default" w:ascii="方正小标宋_GBK" w:hAnsi="方正小标宋_GBK" w:eastAsia="方正小标宋_GBK" w:cs="方正小标宋_GBK"/>
          <w:b w:val="0"/>
          <w:bCs/>
          <w:color w:val="000000"/>
          <w:sz w:val="44"/>
          <w:szCs w:val="4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napToGrid w:val="0"/>
        <w:spacing w:line="560" w:lineRule="exact"/>
        <w:jc w:val="center"/>
        <w:textAlignment w:val="auto"/>
        <w:rPr>
          <w:rFonts w:hint="default" w:ascii="方正小标宋_GBK" w:hAnsi="方正小标宋_GBK" w:eastAsia="方正小标宋_GBK" w:cs="方正小标宋_GBK"/>
          <w:b w:val="0"/>
          <w:bCs/>
          <w:color w:val="000000"/>
          <w:sz w:val="44"/>
          <w:szCs w:val="4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napToGrid w:val="0"/>
        <w:spacing w:line="560" w:lineRule="exact"/>
        <w:jc w:val="center"/>
        <w:textAlignment w:val="auto"/>
        <w:rPr>
          <w:rFonts w:hint="default" w:ascii="方正小标宋_GBK" w:hAnsi="方正小标宋_GBK" w:eastAsia="方正小标宋_GBK" w:cs="方正小标宋_GBK"/>
          <w:b w:val="0"/>
          <w:bCs/>
          <w:color w:val="000000"/>
          <w:sz w:val="44"/>
          <w:szCs w:val="44"/>
        </w:rPr>
      </w:pPr>
      <w:r>
        <w:rPr>
          <w:rFonts w:hint="default" w:ascii="方正小标宋_GBK" w:hAnsi="方正小标宋_GBK" w:eastAsia="方正小标宋_GBK" w:cs="方正小标宋_GBK"/>
          <w:b w:val="0"/>
          <w:bCs/>
          <w:color w:val="000000"/>
          <w:sz w:val="44"/>
          <w:szCs w:val="44"/>
        </w:rPr>
        <w:t>蜂糖李</w:t>
      </w:r>
      <w:r>
        <w:rPr>
          <w:rFonts w:hint="eastAsia" w:ascii="方正小标宋_GBK" w:hAnsi="方正小标宋_GBK" w:eastAsia="方正小标宋_GBK" w:cs="方正小标宋_GBK"/>
          <w:b w:val="0"/>
          <w:bCs/>
          <w:color w:val="000000"/>
          <w:sz w:val="44"/>
          <w:szCs w:val="44"/>
          <w:lang w:eastAsia="zh-CN"/>
        </w:rPr>
        <w:t>花果管理</w:t>
      </w:r>
      <w:r>
        <w:rPr>
          <w:rFonts w:hint="default" w:ascii="方正小标宋_GBK" w:hAnsi="方正小标宋_GBK" w:eastAsia="方正小标宋_GBK" w:cs="方正小标宋_GBK"/>
          <w:b w:val="0"/>
          <w:bCs/>
          <w:color w:val="000000"/>
          <w:sz w:val="44"/>
          <w:szCs w:val="44"/>
        </w:rPr>
        <w:t>技术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napToGrid w:val="0"/>
        <w:spacing w:line="560" w:lineRule="exact"/>
        <w:ind w:firstLine="560" w:firstLineChars="200"/>
        <w:textAlignment w:val="auto"/>
        <w:rPr>
          <w:rFonts w:hint="default" w:ascii="Times New Roman" w:hAnsi="Times New Roman" w:eastAsia="楷体_GB2312" w:cs="Times New Roman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default" w:ascii="Times New Roman" w:hAnsi="Times New Roman" w:eastAsia="黑体" w:cs="Times New Roman"/>
          <w:bCs/>
          <w:color w:val="auto"/>
          <w:sz w:val="32"/>
          <w:szCs w:val="32"/>
        </w:rPr>
      </w:pPr>
      <w:r>
        <w:rPr>
          <w:rFonts w:hint="default" w:ascii="Times New Roman" w:hAnsi="Times New Roman" w:eastAsia="黑体" w:cs="Times New Roman"/>
          <w:bCs/>
          <w:color w:val="auto"/>
          <w:sz w:val="32"/>
          <w:szCs w:val="32"/>
        </w:rPr>
        <w:t>摘要：</w:t>
      </w:r>
      <w:r>
        <w:rPr>
          <w:rFonts w:hint="default" w:ascii="Times New Roman" w:hAnsi="Times New Roman" w:eastAsia="仿宋_GB2312" w:cs="Times New Roman"/>
          <w:color w:val="auto"/>
          <w:sz w:val="28"/>
          <w:szCs w:val="28"/>
        </w:rPr>
        <w:t>针对</w:t>
      </w:r>
      <w:r>
        <w:rPr>
          <w:rFonts w:hint="eastAsia" w:ascii="Times New Roman" w:hAnsi="Times New Roman" w:eastAsia="仿宋_GB2312" w:cs="Times New Roman"/>
          <w:color w:val="auto"/>
          <w:sz w:val="28"/>
          <w:szCs w:val="28"/>
          <w:lang w:eastAsia="zh-CN"/>
        </w:rPr>
        <w:t>我省蜂糖李产业因花果管理不当造成的低产低质问题，通过授粉、保花保果、疏果、果期管理等多举措，确保蜂糖李品质与产量，该技术已在紫云、镇宁等蜂糖李核心产区进行应用，提质增产效果明显。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default" w:ascii="Times New Roman" w:hAnsi="Times New Roman" w:eastAsia="黑体" w:cs="Times New Roman"/>
          <w:bCs/>
          <w:color w:val="auto"/>
          <w:sz w:val="32"/>
          <w:szCs w:val="32"/>
        </w:rPr>
      </w:pPr>
      <w:r>
        <w:rPr>
          <w:rFonts w:hint="default" w:ascii="Times New Roman" w:hAnsi="Times New Roman" w:eastAsia="黑体" w:cs="Times New Roman"/>
          <w:bCs/>
          <w:color w:val="auto"/>
          <w:sz w:val="32"/>
          <w:szCs w:val="32"/>
        </w:rPr>
        <w:t>一、技术概述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napToGrid w:val="0"/>
        <w:spacing w:line="56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b w:val="0"/>
          <w:bCs w:val="0"/>
          <w:color w:val="auto"/>
          <w:sz w:val="28"/>
          <w:szCs w:val="28"/>
        </w:rPr>
      </w:pPr>
      <w:r>
        <w:rPr>
          <w:rFonts w:hint="default" w:ascii="楷体_GB2312" w:hAnsi="楷体_GB2312" w:eastAsia="楷体_GB2312" w:cs="楷体_GB2312"/>
          <w:b w:val="0"/>
          <w:bCs w:val="0"/>
          <w:color w:val="auto"/>
          <w:sz w:val="32"/>
          <w:szCs w:val="32"/>
        </w:rPr>
        <w:t>（一）基本情况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napToGrid w:val="0"/>
        <w:spacing w:line="560" w:lineRule="exact"/>
        <w:ind w:firstLine="560" w:firstLineChars="200"/>
        <w:textAlignment w:val="auto"/>
        <w:rPr>
          <w:rFonts w:hint="default" w:ascii="Times New Roman" w:hAnsi="Times New Roman" w:eastAsia="仿宋_GB2312" w:cs="Times New Roman"/>
          <w:b w:val="0"/>
          <w:bCs w:val="0"/>
          <w:color w:val="auto"/>
          <w:sz w:val="28"/>
          <w:szCs w:val="28"/>
        </w:rPr>
      </w:pPr>
      <w:r>
        <w:rPr>
          <w:rFonts w:hint="default" w:ascii="Times New Roman" w:hAnsi="Times New Roman" w:eastAsia="仿宋_GB2312" w:cs="Times New Roman"/>
          <w:b w:val="0"/>
          <w:bCs w:val="0"/>
          <w:color w:val="auto"/>
          <w:sz w:val="28"/>
          <w:szCs w:val="28"/>
        </w:rPr>
        <w:t>至2023年，贵州省蜂糖李种植面积达5.3×104 hm</w:t>
      </w:r>
      <w:r>
        <w:rPr>
          <w:rFonts w:hint="default" w:ascii="Times New Roman" w:hAnsi="Times New Roman" w:eastAsia="仿宋_GB2312" w:cs="Times New Roman"/>
          <w:b w:val="0"/>
          <w:bCs w:val="0"/>
          <w:color w:val="auto"/>
          <w:sz w:val="28"/>
          <w:szCs w:val="28"/>
          <w:vertAlign w:val="superscript"/>
        </w:rPr>
        <w:t>2</w:t>
      </w:r>
      <w:r>
        <w:rPr>
          <w:rFonts w:hint="default" w:ascii="Times New Roman" w:hAnsi="Times New Roman" w:eastAsia="仿宋_GB2312" w:cs="Times New Roman"/>
          <w:b w:val="0"/>
          <w:bCs w:val="0"/>
          <w:color w:val="auto"/>
          <w:sz w:val="28"/>
          <w:szCs w:val="28"/>
        </w:rPr>
        <w:t>，成为贵州省内种植面积最大的果树单品。但该品种在多地存在</w:t>
      </w:r>
      <w:r>
        <w:rPr>
          <w:rFonts w:hint="eastAsia" w:ascii="Times New Roman" w:hAnsi="Times New Roman" w:eastAsia="仿宋_GB2312" w:cs="Times New Roman"/>
          <w:b w:val="0"/>
          <w:bCs w:val="0"/>
          <w:color w:val="auto"/>
          <w:sz w:val="28"/>
          <w:szCs w:val="28"/>
          <w:lang w:eastAsia="zh-CN"/>
        </w:rPr>
        <w:t>因花果管理不当所致的</w:t>
      </w:r>
      <w:r>
        <w:rPr>
          <w:rFonts w:hint="default" w:ascii="Times New Roman" w:hAnsi="Times New Roman" w:eastAsia="仿宋_GB2312" w:cs="Times New Roman"/>
          <w:b w:val="0"/>
          <w:bCs w:val="0"/>
          <w:color w:val="auto"/>
          <w:sz w:val="28"/>
          <w:szCs w:val="28"/>
        </w:rPr>
        <w:t>低产低质问题，严重影响产业发展。</w:t>
      </w:r>
      <w:r>
        <w:rPr>
          <w:rFonts w:hint="eastAsia" w:ascii="Times New Roman" w:hAnsi="Times New Roman" w:eastAsia="仿宋_GB2312" w:cs="Times New Roman"/>
          <w:b w:val="0"/>
          <w:bCs w:val="0"/>
          <w:color w:val="auto"/>
          <w:sz w:val="28"/>
          <w:szCs w:val="28"/>
          <w:lang w:eastAsia="zh-CN"/>
        </w:rPr>
        <w:t>通过</w:t>
      </w:r>
      <w:r>
        <w:rPr>
          <w:rFonts w:hint="default" w:ascii="Times New Roman" w:hAnsi="Times New Roman" w:eastAsia="仿宋_GB2312" w:cs="Times New Roman"/>
          <w:b w:val="0"/>
          <w:bCs w:val="0"/>
          <w:color w:val="auto"/>
          <w:sz w:val="28"/>
          <w:szCs w:val="28"/>
        </w:rPr>
        <w:t>选择合适的授粉品种、</w:t>
      </w:r>
      <w:r>
        <w:rPr>
          <w:rFonts w:hint="eastAsia" w:ascii="Times New Roman" w:hAnsi="Times New Roman" w:eastAsia="仿宋_GB2312" w:cs="Times New Roman"/>
          <w:b w:val="0"/>
          <w:bCs w:val="0"/>
          <w:color w:val="auto"/>
          <w:sz w:val="28"/>
          <w:szCs w:val="28"/>
          <w:lang w:eastAsia="zh-CN"/>
        </w:rPr>
        <w:t>以保花保果和疏果为核心的</w:t>
      </w:r>
      <w:r>
        <w:rPr>
          <w:rFonts w:hint="default" w:ascii="Times New Roman" w:hAnsi="Times New Roman" w:eastAsia="仿宋_GB2312" w:cs="Times New Roman"/>
          <w:b w:val="0"/>
          <w:bCs w:val="0"/>
          <w:color w:val="auto"/>
          <w:sz w:val="28"/>
          <w:szCs w:val="28"/>
        </w:rPr>
        <w:t>花果量调整</w:t>
      </w:r>
      <w:r>
        <w:rPr>
          <w:rFonts w:hint="eastAsia" w:ascii="Times New Roman" w:hAnsi="Times New Roman" w:eastAsia="仿宋_GB2312" w:cs="Times New Roman"/>
          <w:b w:val="0"/>
          <w:bCs w:val="0"/>
          <w:color w:val="auto"/>
          <w:sz w:val="28"/>
          <w:szCs w:val="28"/>
          <w:lang w:eastAsia="zh-CN"/>
        </w:rPr>
        <w:t>，以夏季疏剪和追肥和核心的树势调整，三措并举，对蜂糖李进行科学的花果管理：</w:t>
      </w:r>
      <w:r>
        <w:rPr>
          <w:rFonts w:hint="default" w:ascii="Times New Roman" w:hAnsi="Times New Roman" w:eastAsia="仿宋_GB2312" w:cs="Times New Roman"/>
          <w:b w:val="0"/>
          <w:bCs w:val="0"/>
          <w:color w:val="auto"/>
          <w:sz w:val="28"/>
          <w:szCs w:val="28"/>
        </w:rPr>
        <w:t>以保障蜂糖李果品产量和品质。</w:t>
      </w:r>
      <w:r>
        <w:rPr>
          <w:rFonts w:hint="eastAsia" w:ascii="Times New Roman" w:hAnsi="Times New Roman" w:eastAsia="仿宋_GB2312" w:cs="Times New Roman"/>
          <w:b w:val="0"/>
          <w:bCs w:val="0"/>
          <w:color w:val="auto"/>
          <w:sz w:val="28"/>
          <w:szCs w:val="28"/>
          <w:lang w:eastAsia="zh-CN"/>
        </w:rPr>
        <w:t>在此基础上</w:t>
      </w:r>
      <w:r>
        <w:rPr>
          <w:rFonts w:hint="default" w:ascii="Times New Roman" w:hAnsi="Times New Roman" w:eastAsia="仿宋_GB2312" w:cs="Times New Roman"/>
          <w:b w:val="0"/>
          <w:bCs w:val="0"/>
          <w:color w:val="auto"/>
          <w:sz w:val="28"/>
          <w:szCs w:val="28"/>
        </w:rPr>
        <w:t>形成了蜂糖李</w:t>
      </w:r>
      <w:r>
        <w:rPr>
          <w:rFonts w:hint="eastAsia" w:ascii="Times New Roman" w:hAnsi="Times New Roman" w:eastAsia="仿宋_GB2312" w:cs="Times New Roman"/>
          <w:b w:val="0"/>
          <w:bCs w:val="0"/>
          <w:color w:val="auto"/>
          <w:sz w:val="28"/>
          <w:szCs w:val="28"/>
          <w:lang w:eastAsia="zh-CN"/>
        </w:rPr>
        <w:t>花果管理技术规程（团标T/BSGC018-2024）</w:t>
      </w:r>
      <w:r>
        <w:rPr>
          <w:rFonts w:hint="default" w:ascii="Times New Roman" w:hAnsi="Times New Roman" w:eastAsia="仿宋_GB2312" w:cs="Times New Roman"/>
          <w:b w:val="0"/>
          <w:bCs w:val="0"/>
          <w:color w:val="auto"/>
          <w:sz w:val="28"/>
          <w:szCs w:val="28"/>
        </w:rPr>
        <w:t>。通过该技术的持续、规范、系统应用，可实现蜂糖李的</w:t>
      </w:r>
      <w:r>
        <w:rPr>
          <w:rFonts w:hint="eastAsia" w:ascii="Times New Roman" w:hAnsi="Times New Roman" w:eastAsia="仿宋_GB2312" w:cs="Times New Roman"/>
          <w:b w:val="0"/>
          <w:bCs w:val="0"/>
          <w:color w:val="auto"/>
          <w:sz w:val="28"/>
          <w:szCs w:val="28"/>
          <w:lang w:eastAsia="zh-CN"/>
        </w:rPr>
        <w:t>品质、产量双提升</w:t>
      </w:r>
      <w:r>
        <w:rPr>
          <w:rFonts w:hint="default" w:ascii="Times New Roman" w:hAnsi="Times New Roman" w:eastAsia="仿宋_GB2312" w:cs="Times New Roman"/>
          <w:b w:val="0"/>
          <w:bCs w:val="0"/>
          <w:color w:val="auto"/>
          <w:sz w:val="28"/>
          <w:szCs w:val="28"/>
        </w:rPr>
        <w:t>。</w:t>
      </w: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snapToGrid w:val="0"/>
        <w:spacing w:line="56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b w:val="0"/>
          <w:bCs w:val="0"/>
          <w:color w:val="auto"/>
          <w:sz w:val="28"/>
          <w:szCs w:val="28"/>
        </w:rPr>
      </w:pPr>
      <w:r>
        <w:rPr>
          <w:rFonts w:hint="eastAsia" w:ascii="楷体_GB2312" w:hAnsi="楷体_GB2312" w:eastAsia="楷体_GB2312" w:cs="楷体_GB2312"/>
          <w:b w:val="0"/>
          <w:bCs w:val="0"/>
          <w:color w:val="auto"/>
          <w:sz w:val="32"/>
          <w:szCs w:val="32"/>
          <w:lang w:eastAsia="zh-CN"/>
        </w:rPr>
        <w:t>（二）</w:t>
      </w:r>
      <w:r>
        <w:rPr>
          <w:rFonts w:hint="default" w:ascii="楷体_GB2312" w:hAnsi="楷体_GB2312" w:eastAsia="楷体_GB2312" w:cs="楷体_GB2312"/>
          <w:b w:val="0"/>
          <w:bCs w:val="0"/>
          <w:color w:val="auto"/>
          <w:sz w:val="32"/>
          <w:szCs w:val="32"/>
        </w:rPr>
        <w:t>推广应用情况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napToGrid w:val="0"/>
        <w:spacing w:line="560" w:lineRule="exact"/>
        <w:ind w:firstLine="560" w:firstLineChars="200"/>
        <w:textAlignment w:val="auto"/>
        <w:rPr>
          <w:rFonts w:hint="default" w:ascii="Times New Roman" w:hAnsi="Times New Roman" w:eastAsia="仿宋_GB2312" w:cs="Times New Roman"/>
          <w:b w:val="0"/>
          <w:bCs w:val="0"/>
          <w:color w:val="auto"/>
          <w:sz w:val="28"/>
          <w:szCs w:val="28"/>
        </w:rPr>
      </w:pPr>
      <w:r>
        <w:rPr>
          <w:rFonts w:hint="default" w:ascii="Times New Roman" w:hAnsi="Times New Roman" w:eastAsia="仿宋_GB2312" w:cs="Times New Roman"/>
          <w:b w:val="0"/>
          <w:bCs w:val="0"/>
          <w:color w:val="auto"/>
          <w:sz w:val="28"/>
          <w:szCs w:val="28"/>
        </w:rPr>
        <w:t>目前，依托项目实施，在镇宁、罗甸、紫云、惠水等地建立了核心技术示范基地</w:t>
      </w:r>
      <w:r>
        <w:rPr>
          <w:rFonts w:hint="eastAsia" w:ascii="Times New Roman" w:hAnsi="Times New Roman" w:eastAsia="仿宋_GB2312" w:cs="Times New Roman"/>
          <w:b w:val="0"/>
          <w:bCs w:val="0"/>
          <w:color w:val="auto"/>
          <w:sz w:val="28"/>
          <w:szCs w:val="28"/>
          <w:lang w:val="en-US" w:eastAsia="zh-CN"/>
        </w:rPr>
        <w:t>6</w:t>
      </w:r>
      <w:r>
        <w:rPr>
          <w:rFonts w:hint="default" w:ascii="Times New Roman" w:hAnsi="Times New Roman" w:eastAsia="仿宋_GB2312" w:cs="Times New Roman"/>
          <w:b w:val="0"/>
          <w:bCs w:val="0"/>
          <w:color w:val="auto"/>
          <w:sz w:val="28"/>
          <w:szCs w:val="28"/>
        </w:rPr>
        <w:t>000余亩。</w:t>
      </w: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snapToGrid w:val="0"/>
        <w:spacing w:line="560" w:lineRule="exact"/>
        <w:ind w:left="640" w:leftChars="0"/>
        <w:textAlignment w:val="auto"/>
        <w:rPr>
          <w:rFonts w:hint="default" w:ascii="Times New Roman" w:hAnsi="Times New Roman" w:eastAsia="仿宋_GB2312" w:cs="Times New Roman"/>
          <w:b w:val="0"/>
          <w:bCs w:val="0"/>
          <w:color w:val="auto"/>
          <w:sz w:val="28"/>
          <w:szCs w:val="28"/>
        </w:rPr>
      </w:pPr>
      <w:r>
        <w:rPr>
          <w:rFonts w:hint="eastAsia" w:ascii="楷体_GB2312" w:hAnsi="楷体_GB2312" w:eastAsia="楷体_GB2312" w:cs="楷体_GB2312"/>
          <w:b w:val="0"/>
          <w:bCs w:val="0"/>
          <w:color w:val="auto"/>
          <w:sz w:val="32"/>
          <w:szCs w:val="32"/>
          <w:lang w:eastAsia="zh-CN"/>
        </w:rPr>
        <w:t>（三）</w:t>
      </w:r>
      <w:r>
        <w:rPr>
          <w:rFonts w:hint="default" w:ascii="楷体_GB2312" w:hAnsi="楷体_GB2312" w:eastAsia="楷体_GB2312" w:cs="楷体_GB2312"/>
          <w:b w:val="0"/>
          <w:bCs w:val="0"/>
          <w:color w:val="auto"/>
          <w:sz w:val="32"/>
          <w:szCs w:val="32"/>
        </w:rPr>
        <w:t>提质增效情况</w:t>
      </w:r>
    </w:p>
    <w:p>
      <w:pPr>
        <w:snapToGrid w:val="0"/>
        <w:spacing w:line="600" w:lineRule="exact"/>
        <w:ind w:firstLine="640"/>
        <w:rPr>
          <w:rFonts w:hint="eastAsia" w:eastAsia="仿宋_GB2312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2023-2024两年</w:t>
      </w:r>
      <w:r>
        <w:rPr>
          <w:rFonts w:hint="eastAsia" w:eastAsia="仿宋_GB2312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紫云县火花镇破关村蜂糖李园开展连续示范，提质增效效果如下：</w:t>
      </w:r>
    </w:p>
    <w:p>
      <w:pPr>
        <w:snapToGrid w:val="0"/>
        <w:spacing w:line="600" w:lineRule="exact"/>
        <w:ind w:firstLine="640"/>
        <w:rPr>
          <w:rFonts w:hint="eastAsia" w:ascii="Times New Roman" w:hAnsi="Times New Roman" w:eastAsia="仿宋_GB2312" w:cs="Times New Roman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2023</w:t>
      </w:r>
      <w:r>
        <w:rPr>
          <w:rFonts w:hint="eastAsia" w:eastAsia="仿宋_GB2312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年，</w:t>
      </w:r>
      <w:r>
        <w:rPr>
          <w:rFonts w:hint="eastAsia" w:ascii="Times New Roman" w:hAnsi="Times New Roman" w:eastAsia="仿宋_GB2312" w:cs="Times New Roman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未搭配授粉品种区域自然坐果率为1.7%，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应用该技术</w:t>
      </w:r>
      <w:r>
        <w:rPr>
          <w:rFonts w:hint="eastAsia" w:ascii="Times New Roman" w:hAnsi="Times New Roman" w:eastAsia="仿宋_GB2312" w:cs="Times New Roman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人工补充授粉后坐果率提升至3.7%；搭配凤凰李进行授粉受区域，坐果率提高至19.7%；未正确搭配授粉品种的果园产量在81 kg～377 kg，按本技术搭配凤凰李为授粉品种或人工补充授粉后，产量可达931kg～1299 kg，且凤凰李为授粉品种的蜂糖李可溶性固形物略有提升（未搭配时为15.7%，搭配后为16.0%）。</w:t>
      </w:r>
    </w:p>
    <w:p>
      <w:pPr>
        <w:snapToGrid w:val="0"/>
        <w:spacing w:line="600" w:lineRule="exact"/>
        <w:ind w:firstLine="640"/>
        <w:rPr>
          <w:rFonts w:hint="eastAsia" w:ascii="Times New Roman" w:hAnsi="Times New Roman" w:eastAsia="仿宋_GB2312" w:cs="Times New Roman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2024年，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应用该技术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:lang w:eastAsia="zh-CN"/>
          <w14:textFill>
            <w14:solidFill>
              <w14:schemeClr w14:val="tx1"/>
            </w14:solidFill>
          </w14:textFill>
        </w:rPr>
        <w:t>搭配凤凰李后，</w:t>
      </w:r>
      <w:r>
        <w:rPr>
          <w:rFonts w:hint="eastAsia" w:ascii="Times New Roman" w:hAnsi="Times New Roman" w:eastAsia="仿宋_GB2312" w:cs="Times New Roman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示范园坐果率由1.86%提高至4.3%，亩产量由342kg提高至119 kg，单果重由44.1g提高至47.3g，可溶性固形物由15.1%提高至15.8%。</w:t>
      </w:r>
    </w:p>
    <w:p>
      <w:pPr>
        <w:snapToGrid w:val="0"/>
        <w:spacing w:line="600" w:lineRule="exact"/>
        <w:ind w:firstLine="640"/>
        <w:rPr>
          <w:rFonts w:hint="eastAsia" w:ascii="Times New Roman" w:hAnsi="Times New Roman" w:eastAsia="仿宋_GB2312"/>
          <w:color w:val="000000" w:themeColor="text1"/>
          <w:sz w:val="52"/>
          <w:szCs w:val="5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两年示范效果表明该技术提质提产效果显著。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napToGrid w:val="0"/>
        <w:spacing w:line="560" w:lineRule="exact"/>
        <w:ind w:firstLine="640"/>
        <w:textAlignment w:val="auto"/>
        <w:rPr>
          <w:rFonts w:hint="default" w:ascii="Times New Roman" w:hAnsi="Times New Roman" w:eastAsia="楷体_GB2312" w:cs="Times New Roman"/>
          <w:b w:val="0"/>
          <w:bCs w:val="0"/>
          <w:color w:val="auto"/>
          <w:sz w:val="28"/>
          <w:szCs w:val="28"/>
        </w:rPr>
      </w:pPr>
      <w:r>
        <w:rPr>
          <w:rFonts w:hint="eastAsia" w:ascii="楷体_GB2312" w:hAnsi="楷体_GB2312" w:eastAsia="楷体_GB2312" w:cs="楷体_GB2312"/>
          <w:b w:val="0"/>
          <w:bCs w:val="0"/>
          <w:color w:val="auto"/>
          <w:sz w:val="32"/>
          <w:szCs w:val="32"/>
        </w:rPr>
        <w:t>（四）获奖情况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560" w:firstLineChars="200"/>
        <w:textAlignment w:val="auto"/>
        <w:rPr>
          <w:rFonts w:hint="default" w:ascii="Times New Roman" w:hAnsi="Times New Roman" w:eastAsia="仿宋_GB2312" w:cs="Times New Roman"/>
          <w:b w:val="0"/>
          <w:bCs w:val="0"/>
          <w:color w:val="auto"/>
          <w:sz w:val="28"/>
          <w:szCs w:val="28"/>
        </w:rPr>
      </w:pPr>
      <w:r>
        <w:rPr>
          <w:rFonts w:hint="eastAsia" w:ascii="Times New Roman" w:hAnsi="Times New Roman" w:eastAsia="仿宋_GB2312" w:cs="Times New Roman"/>
          <w:b w:val="0"/>
          <w:bCs w:val="0"/>
          <w:color w:val="auto"/>
          <w:sz w:val="28"/>
          <w:szCs w:val="28"/>
          <w:lang w:eastAsia="zh-CN"/>
        </w:rPr>
        <w:t>尚未开展成果申报</w:t>
      </w:r>
      <w:r>
        <w:rPr>
          <w:rFonts w:hint="default" w:ascii="Times New Roman" w:hAnsi="Times New Roman" w:eastAsia="仿宋_GB2312" w:cs="Times New Roman"/>
          <w:b w:val="0"/>
          <w:bCs w:val="0"/>
          <w:color w:val="auto"/>
          <w:sz w:val="28"/>
          <w:szCs w:val="28"/>
        </w:rPr>
        <w:t>。</w:t>
      </w:r>
    </w:p>
    <w:p>
      <w:pPr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snapToGrid w:val="0"/>
        <w:spacing w:line="560" w:lineRule="exact"/>
        <w:ind w:firstLine="640" w:firstLineChars="200"/>
        <w:textAlignment w:val="auto"/>
        <w:rPr>
          <w:rFonts w:hint="default" w:ascii="Times New Roman" w:hAnsi="Times New Roman" w:eastAsia="黑体" w:cs="Times New Roman"/>
          <w:b w:val="0"/>
          <w:bCs w:val="0"/>
          <w:color w:val="auto"/>
          <w:sz w:val="32"/>
          <w:szCs w:val="32"/>
        </w:rPr>
      </w:pPr>
      <w:r>
        <w:rPr>
          <w:rFonts w:hint="default" w:ascii="Times New Roman" w:hAnsi="Times New Roman" w:eastAsia="黑体" w:cs="Times New Roman"/>
          <w:b w:val="0"/>
          <w:bCs w:val="0"/>
          <w:color w:val="auto"/>
          <w:sz w:val="32"/>
          <w:szCs w:val="32"/>
        </w:rPr>
        <w:t>技术要点</w:t>
      </w:r>
    </w:p>
    <w:p>
      <w:pPr>
        <w:keepNext w:val="0"/>
        <w:keepLines w:val="0"/>
        <w:pageBreakBefore w:val="0"/>
        <w:numPr>
          <w:numId w:val="0"/>
        </w:numPr>
        <w:kinsoku/>
        <w:wordWrap/>
        <w:overflowPunct/>
        <w:topLinePunct w:val="0"/>
        <w:autoSpaceDE/>
        <w:autoSpaceDN/>
        <w:bidi w:val="0"/>
        <w:snapToGrid w:val="0"/>
        <w:spacing w:line="560" w:lineRule="exact"/>
        <w:ind w:firstLine="640" w:firstLineChars="200"/>
        <w:textAlignment w:val="auto"/>
        <w:rPr>
          <w:rFonts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hint="default" w:ascii="楷体_GB2312" w:hAnsi="楷体_GB2312" w:eastAsia="楷体_GB2312" w:cs="楷体_GB2312"/>
          <w:b w:val="0"/>
          <w:bCs w:val="0"/>
          <w:color w:val="auto"/>
          <w:sz w:val="32"/>
          <w:szCs w:val="32"/>
        </w:rPr>
        <w:t>（一）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:lang w:eastAsia="zh-CN"/>
          <w14:textFill>
            <w14:solidFill>
              <w14:schemeClr w14:val="tx1"/>
            </w14:solidFill>
          </w14:textFill>
        </w:rPr>
        <w:t>授粉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：</w:t>
      </w:r>
    </w:p>
    <w:p>
      <w:pPr>
        <w:snapToGrid w:val="0"/>
        <w:spacing w:line="600" w:lineRule="exact"/>
        <w:ind w:firstLine="600" w:firstLineChars="200"/>
        <w:rPr>
          <w:rFonts w:hint="eastAsia" w:ascii="Times New Roman" w:hAnsi="Times New Roman" w:eastAsia="仿宋_GB2312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选用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:lang w:eastAsia="zh-CN"/>
          <w14:textFill>
            <w14:solidFill>
              <w14:schemeClr w14:val="tx1"/>
            </w14:solidFill>
          </w14:textFill>
        </w:rPr>
        <w:t>凤凰李（又名五月脆）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为授粉树，授粉树：蜂糖李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:lang w:eastAsia="zh-CN"/>
          <w14:textFill>
            <w14:solidFill>
              <w14:schemeClr w14:val="tx1"/>
            </w14:solidFill>
          </w14:textFill>
        </w:rPr>
        <w:t>按照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1：8比例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:lang w:eastAsia="zh-CN"/>
          <w14:textFill>
            <w14:solidFill>
              <w14:schemeClr w14:val="tx1"/>
            </w14:solidFill>
          </w14:textFill>
        </w:rPr>
        <w:t>按中心式进行配置，配置方法见图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1。开花前2 d～3 d，按每6亩-7亩引入1箱蜜蜂。</w:t>
      </w:r>
    </w:p>
    <w:p>
      <w:pPr>
        <w:snapToGrid w:val="0"/>
        <w:spacing w:line="600" w:lineRule="exact"/>
        <w:ind w:firstLine="600" w:firstLineChars="200"/>
        <w:rPr>
          <w:rFonts w:hint="eastAsia"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未配置品种的果园，在树冠中上部嫁接授粉品种的枝条，每间隔3株嫁接1株，每株嫁接2个～3个枝条培养为1个～2个授粉枝组。在授粉品种长成前，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花开50%</w:t>
      </w:r>
      <w:r>
        <w:rPr>
          <w:rFonts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～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80%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:lang w:eastAsia="zh-CN"/>
          <w14:textFill>
            <w14:solidFill>
              <w14:schemeClr w14:val="tx1"/>
            </w14:solidFill>
          </w14:textFill>
        </w:rPr>
        <w:t>时，需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进行人工授粉，授粉宜在晴天上午10点前或下午4点后，气温16</w:t>
      </w:r>
      <w:r>
        <w:rPr>
          <w:rFonts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～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22℃为宜，若授粉后4小时遇雨需补授。</w:t>
      </w:r>
    </w:p>
    <w:p>
      <w:pPr>
        <w:pStyle w:val="8"/>
        <w:autoSpaceDE/>
        <w:autoSpaceDN/>
        <w:spacing w:before="157" w:beforeLines="50" w:after="157" w:afterLines="50" w:line="240" w:lineRule="auto"/>
        <w:ind w:firstLine="480" w:firstLineChars="200"/>
        <w:rPr>
          <w:rFonts w:hint="eastAsia" w:ascii="Times New Roman" w:hAnsi="Times New Roman" w:eastAsia="仿宋_GB2312" w:cs="Times New Roman"/>
          <w:color w:val="000000" w:themeColor="text1"/>
          <w:kern w:val="2"/>
          <w:sz w:val="24"/>
          <w:szCs w:val="24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color w:val="000000" w:themeColor="text1"/>
          <w:kern w:val="2"/>
          <w:sz w:val="24"/>
          <w:szCs w:val="24"/>
          <w:lang w:val="en-US" w:eastAsia="zh-CN" w:bidi="ar-SA"/>
          <w14:textFill>
            <w14:solidFill>
              <w14:schemeClr w14:val="tx1"/>
            </w14:solidFill>
          </w14:textFill>
        </w:rPr>
        <w:drawing>
          <wp:anchor distT="0" distB="0" distL="114935" distR="114935" simplePos="0" relativeHeight="251659264" behindDoc="0" locked="0" layoutInCell="1" allowOverlap="0">
            <wp:simplePos x="0" y="0"/>
            <wp:positionH relativeFrom="margin">
              <wp:align>center</wp:align>
            </wp:positionH>
            <wp:positionV relativeFrom="paragraph">
              <wp:posOffset>14605</wp:posOffset>
            </wp:positionV>
            <wp:extent cx="1936115" cy="1930400"/>
            <wp:effectExtent l="0" t="0" r="6985" b="12700"/>
            <wp:wrapTopAndBottom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936115" cy="193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仿宋_GB2312" w:cs="Times New Roman"/>
          <w:color w:val="000000" w:themeColor="text1"/>
          <w:kern w:val="2"/>
          <w:sz w:val="24"/>
          <w:szCs w:val="24"/>
          <w:lang w:val="en-US" w:eastAsia="zh-CN" w:bidi="ar-SA"/>
          <w14:textFill>
            <w14:solidFill>
              <w14:schemeClr w14:val="tx1"/>
            </w14:solidFill>
          </w14:textFill>
        </w:rPr>
        <w:t xml:space="preserve"> 注：○为蜂糖李，</w:t>
      </w:r>
      <w:r>
        <w:rPr>
          <w:rFonts w:hint="default" w:ascii="Times New Roman" w:hAnsi="Times New Roman" w:eastAsia="仿宋_GB2312" w:cs="Times New Roman"/>
          <w:color w:val="000000" w:themeColor="text1"/>
          <w:kern w:val="2"/>
          <w:sz w:val="24"/>
          <w:szCs w:val="24"/>
          <w:lang w:val="en-US" w:eastAsia="zh-CN" w:bidi="ar-SA"/>
          <w14:textFill>
            <w14:solidFill>
              <w14:schemeClr w14:val="tx1"/>
            </w14:solidFill>
          </w14:textFill>
        </w:rPr>
        <w:t>×</w:t>
      </w:r>
      <w:r>
        <w:rPr>
          <w:rFonts w:hint="eastAsia" w:ascii="Times New Roman" w:hAnsi="Times New Roman" w:eastAsia="仿宋_GB2312" w:cs="Times New Roman"/>
          <w:color w:val="000000" w:themeColor="text1"/>
          <w:kern w:val="2"/>
          <w:sz w:val="24"/>
          <w:szCs w:val="24"/>
          <w:lang w:val="en-US" w:eastAsia="zh-CN" w:bidi="ar-SA"/>
          <w14:textFill>
            <w14:solidFill>
              <w14:schemeClr w14:val="tx1"/>
            </w14:solidFill>
          </w14:textFill>
        </w:rPr>
        <w:t>为授粉品种</w:t>
      </w:r>
    </w:p>
    <w:p>
      <w:pPr>
        <w:snapToGrid w:val="0"/>
        <w:spacing w:line="600" w:lineRule="exact"/>
        <w:ind w:firstLine="600" w:firstLineChars="200"/>
        <w:jc w:val="center"/>
        <w:rPr>
          <w:rFonts w:hint="eastAsia" w:ascii="Times New Roman" w:hAnsi="Times New Roman" w:eastAsia="仿宋_GB2312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图1 蜂糖李与授粉品种配置方法</w:t>
      </w:r>
    </w:p>
    <w:p>
      <w:pPr>
        <w:pStyle w:val="6"/>
        <w:rPr>
          <w:rFonts w:hint="eastAsia"/>
          <w:lang w:val="en-US" w:eastAsia="zh-CN"/>
        </w:rPr>
      </w:pPr>
      <w:r>
        <w:rPr>
          <w:rFonts w:hint="eastAsia" w:eastAsia="仿宋_GB2312"/>
          <w:lang w:eastAsia="zh-CN"/>
        </w:rPr>
        <w:drawing>
          <wp:inline distT="0" distB="0" distL="114300" distR="114300">
            <wp:extent cx="5274310" cy="2966720"/>
            <wp:effectExtent l="0" t="0" r="2540" b="5080"/>
            <wp:docPr id="5" name="图片 5" descr="IMG_E59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E592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0"/>
        <w:spacing w:line="600" w:lineRule="exact"/>
        <w:ind w:firstLine="600" w:firstLineChars="200"/>
        <w:jc w:val="center"/>
        <w:rPr>
          <w:rFonts w:hint="eastAsia" w:ascii="Times New Roman" w:hAnsi="Times New Roman" w:eastAsia="仿宋_GB2312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图2 蜂糖李人工授粉</w:t>
      </w:r>
    </w:p>
    <w:p>
      <w:pPr>
        <w:pStyle w:val="6"/>
        <w:rPr>
          <w:rFonts w:hint="eastAsia"/>
          <w:lang w:val="en-US" w:eastAsia="zh-CN"/>
        </w:rPr>
      </w:pPr>
    </w:p>
    <w:p>
      <w:pPr>
        <w:pStyle w:val="6"/>
        <w:rPr>
          <w:rFonts w:hint="eastAsia"/>
          <w:lang w:val="en-US" w:eastAsia="zh-CN"/>
        </w:rPr>
      </w:pPr>
    </w:p>
    <w:p>
      <w:pPr>
        <w:pStyle w:val="6"/>
        <w:ind w:firstLine="0" w:firstLineChars="0"/>
        <w:rPr>
          <w:rFonts w:hint="eastAsia" w:eastAsia="仿宋_GB2312"/>
          <w:lang w:eastAsia="zh-CN"/>
        </w:rPr>
      </w:pPr>
    </w:p>
    <w:p>
      <w:pPr>
        <w:snapToGrid w:val="0"/>
        <w:spacing w:line="240" w:lineRule="auto"/>
        <w:ind w:firstLine="0" w:firstLineChars="0"/>
        <w:jc w:val="center"/>
        <w:rPr>
          <w:rFonts w:hint="eastAsia" w:ascii="Times New Roman" w:hAnsi="Times New Roman" w:eastAsia="仿宋_GB2312"/>
          <w:color w:val="000000" w:themeColor="text1"/>
          <w:sz w:val="30"/>
          <w:szCs w:val="30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/>
          <w:color w:val="000000" w:themeColor="text1"/>
          <w:sz w:val="30"/>
          <w:szCs w:val="30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74310" cy="3955415"/>
            <wp:effectExtent l="0" t="0" r="2540" b="6985"/>
            <wp:docPr id="4" name="图片 4" descr="IMG_8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827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0"/>
        <w:spacing w:line="240" w:lineRule="auto"/>
        <w:ind w:firstLine="0" w:firstLineChars="0"/>
        <w:jc w:val="center"/>
        <w:rPr>
          <w:rFonts w:hint="eastAsia" w:ascii="Times New Roman" w:hAnsi="Times New Roman" w:eastAsia="仿宋_GB2312"/>
          <w:color w:val="000000" w:themeColor="text1"/>
          <w:sz w:val="30"/>
          <w:szCs w:val="30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图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:lang w:eastAsia="zh-CN"/>
          <w14:textFill>
            <w14:solidFill>
              <w14:schemeClr w14:val="tx1"/>
            </w14:solidFill>
          </w14:textFill>
        </w:rPr>
        <w:t>搭配凤凰李后蜂糖李挂果状</w:t>
      </w:r>
    </w:p>
    <w:p>
      <w:pPr>
        <w:snapToGrid w:val="0"/>
        <w:spacing w:line="600" w:lineRule="exact"/>
        <w:ind w:firstLine="600" w:firstLineChars="200"/>
        <w:rPr>
          <w:rFonts w:hint="eastAsia"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/>
          <w:color w:val="000000" w:themeColor="text1"/>
          <w:sz w:val="30"/>
          <w:szCs w:val="30"/>
          <w:lang w:eastAsia="zh-CN"/>
          <w14:textFill>
            <w14:solidFill>
              <w14:schemeClr w14:val="tx1"/>
            </w14:solidFill>
          </w14:textFill>
        </w:rPr>
        <w:t>（二）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保花保果</w:t>
      </w:r>
    </w:p>
    <w:p>
      <w:pPr>
        <w:pStyle w:val="8"/>
        <w:rPr>
          <w:rFonts w:hint="eastAsia" w:ascii="Times New Roman" w:hAnsi="Times New Roman" w:eastAsia="仿宋_GB2312" w:cs="Times New Roman"/>
          <w:color w:val="000000" w:themeColor="text1"/>
          <w:kern w:val="2"/>
          <w:sz w:val="30"/>
          <w:szCs w:val="30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color w:val="000000" w:themeColor="text1"/>
          <w:kern w:val="2"/>
          <w:sz w:val="30"/>
          <w:szCs w:val="30"/>
          <w:lang w:val="en-US" w:eastAsia="zh-CN" w:bidi="ar-SA"/>
          <w14:textFill>
            <w14:solidFill>
              <w14:schemeClr w14:val="tx1"/>
            </w14:solidFill>
          </w14:textFill>
        </w:rPr>
        <w:t>萌芽前后宜灌一次透水；花期遇低温时，可喷施碧护、芸薹素内酯等保花剂提高抗性；盛花初期每亩喷0.3%硼砂溶液50 kg～75 kg促进授粉；在幼果期至果实膨大期每7d～15d喷施1次大、中、微量元素肥。</w:t>
      </w:r>
    </w:p>
    <w:p>
      <w:pPr>
        <w:snapToGrid w:val="0"/>
        <w:spacing w:line="600" w:lineRule="exact"/>
        <w:ind w:firstLine="600" w:firstLineChars="200"/>
        <w:rPr>
          <w:rFonts w:hint="eastAsia"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/>
          <w:color w:val="000000" w:themeColor="text1"/>
          <w:sz w:val="30"/>
          <w:szCs w:val="30"/>
          <w:lang w:eastAsia="zh-CN"/>
          <w14:textFill>
            <w14:solidFill>
              <w14:schemeClr w14:val="tx1"/>
            </w14:solidFill>
          </w14:textFill>
        </w:rPr>
        <w:t>（三）疏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果</w:t>
      </w:r>
    </w:p>
    <w:p>
      <w:pPr>
        <w:pStyle w:val="8"/>
        <w:rPr>
          <w:rFonts w:hint="default" w:ascii="Times New Roman" w:hAnsi="Times New Roman" w:eastAsia="仿宋_GB2312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color w:val="000000" w:themeColor="text1"/>
          <w:kern w:val="2"/>
          <w:sz w:val="30"/>
          <w:szCs w:val="30"/>
          <w:lang w:val="en-US" w:eastAsia="zh-CN" w:bidi="ar-SA"/>
          <w14:textFill>
            <w14:solidFill>
              <w14:schemeClr w14:val="tx1"/>
            </w14:solidFill>
          </w14:textFill>
        </w:rPr>
        <w:t>对挂果量过大的应进行疏果。一般在花后40 d开始，在果核硬化之前完成。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盛果期蜂糖李单株挂果量控制在600</w:t>
      </w:r>
      <w:r>
        <w:rPr>
          <w:rFonts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～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000个。</w:t>
      </w:r>
    </w:p>
    <w:p>
      <w:pPr>
        <w:pStyle w:val="8"/>
        <w:rPr>
          <w:rFonts w:hint="eastAsia" w:ascii="Times New Roman" w:hAnsi="Times New Roman" w:eastAsia="仿宋_GB2312" w:cs="Times New Roman"/>
          <w:color w:val="000000" w:themeColor="text1"/>
          <w:kern w:val="2"/>
          <w:sz w:val="30"/>
          <w:szCs w:val="30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color w:val="000000" w:themeColor="text1"/>
          <w:kern w:val="2"/>
          <w:sz w:val="30"/>
          <w:szCs w:val="30"/>
          <w:lang w:val="en-US" w:eastAsia="zh-CN" w:bidi="ar-SA"/>
          <w14:textFill>
            <w14:solidFill>
              <w14:schemeClr w14:val="tx1"/>
            </w14:solidFill>
          </w14:textFill>
        </w:rPr>
        <w:t>按照“先里后外，先上后下”的原则。先疏除小果、病虫果、畸形果；再疏除朝天果、无叶果，选留果枝两侧的果，并生果去一留一。花簇状枝、短果枝留1个果；中长果枝，按果间距6 cm～8 cm留果。</w:t>
      </w:r>
    </w:p>
    <w:p>
      <w:pPr>
        <w:snapToGrid w:val="0"/>
        <w:spacing w:line="600" w:lineRule="exact"/>
        <w:ind w:firstLine="600" w:firstLineChars="200"/>
        <w:rPr>
          <w:rFonts w:hint="eastAsia" w:ascii="Times New Roman" w:hAnsi="Times New Roman" w:eastAsia="仿宋_GB2312"/>
          <w:color w:val="000000" w:themeColor="text1"/>
          <w:sz w:val="30"/>
          <w:szCs w:val="30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/>
          <w:color w:val="000000" w:themeColor="text1"/>
          <w:sz w:val="30"/>
          <w:szCs w:val="30"/>
          <w:lang w:eastAsia="zh-CN"/>
          <w14:textFill>
            <w14:solidFill>
              <w14:schemeClr w14:val="tx1"/>
            </w14:solidFill>
          </w14:textFill>
        </w:rPr>
        <w:t>（四）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果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:lang w:eastAsia="zh-CN"/>
          <w14:textFill>
            <w14:solidFill>
              <w14:schemeClr w14:val="tx1"/>
            </w14:solidFill>
          </w14:textFill>
        </w:rPr>
        <w:t>期管理</w:t>
      </w:r>
    </w:p>
    <w:p>
      <w:pPr>
        <w:pStyle w:val="8"/>
        <w:rPr>
          <w:rFonts w:hint="eastAsia" w:ascii="Times New Roman" w:hAnsi="Times New Roman" w:eastAsia="仿宋_GB2312" w:cs="Times New Roman"/>
          <w:color w:val="000000" w:themeColor="text1"/>
          <w:kern w:val="2"/>
          <w:sz w:val="30"/>
          <w:szCs w:val="30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color w:val="000000" w:themeColor="text1"/>
          <w:kern w:val="2"/>
          <w:sz w:val="30"/>
          <w:szCs w:val="30"/>
          <w:lang w:val="en-US" w:eastAsia="zh-CN" w:bidi="ar-SA"/>
          <w14:textFill>
            <w14:solidFill>
              <w14:schemeClr w14:val="tx1"/>
            </w14:solidFill>
          </w14:textFill>
        </w:rPr>
        <w:t>1. 冰雹风险区果期应安装防雹网进行防雹；</w:t>
      </w:r>
    </w:p>
    <w:p>
      <w:pPr>
        <w:pStyle w:val="8"/>
        <w:rPr>
          <w:rFonts w:hint="eastAsia" w:ascii="Times New Roman" w:hAnsi="Times New Roman" w:eastAsia="仿宋_GB2312" w:cs="Times New Roman"/>
          <w:color w:val="000000" w:themeColor="text1"/>
          <w:kern w:val="2"/>
          <w:sz w:val="30"/>
          <w:szCs w:val="30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color w:val="000000" w:themeColor="text1"/>
          <w:kern w:val="2"/>
          <w:sz w:val="30"/>
          <w:szCs w:val="30"/>
          <w:lang w:val="en-US" w:eastAsia="zh-CN" w:bidi="ar-SA"/>
          <w14:textFill>
            <w14:solidFill>
              <w14:schemeClr w14:val="tx1"/>
            </w14:solidFill>
          </w14:textFill>
        </w:rPr>
        <w:t>2. 生长季及时疏除树冠内膛徒长枝、外围竞争枝以及骨干枝背上直立旺梢，确保树体通风透光；</w:t>
      </w:r>
    </w:p>
    <w:p>
      <w:pPr>
        <w:pStyle w:val="8"/>
      </w:pPr>
      <w:r>
        <w:rPr>
          <w:rFonts w:hint="eastAsia" w:ascii="Times New Roman" w:hAnsi="Times New Roman" w:eastAsia="仿宋_GB2312" w:cs="Times New Roman"/>
          <w:color w:val="000000" w:themeColor="text1"/>
          <w:kern w:val="2"/>
          <w:sz w:val="30"/>
          <w:szCs w:val="30"/>
          <w:lang w:val="en-US" w:eastAsia="zh-CN" w:bidi="ar-SA"/>
          <w14:textFill>
            <w14:solidFill>
              <w14:schemeClr w14:val="tx1"/>
            </w14:solidFill>
          </w14:textFill>
        </w:rPr>
        <w:t>3. 幼果膨大初期，追施高钾复合肥（18-7-25），每亩施肥量40 kg～50 kg，结合追肥，适当灌水；</w:t>
      </w:r>
    </w:p>
    <w:p>
      <w:pPr>
        <w:pStyle w:val="8"/>
        <w:numPr>
          <w:ilvl w:val="0"/>
          <w:numId w:val="2"/>
        </w:numPr>
        <w:rPr>
          <w:rFonts w:hint="eastAsia" w:ascii="Times New Roman" w:hAnsi="Times New Roman" w:eastAsia="仿宋_GB2312" w:cs="Times New Roman"/>
          <w:color w:val="000000" w:themeColor="text1"/>
          <w:kern w:val="2"/>
          <w:sz w:val="30"/>
          <w:szCs w:val="30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color w:val="000000" w:themeColor="text1"/>
          <w:kern w:val="2"/>
          <w:sz w:val="30"/>
          <w:szCs w:val="30"/>
          <w:lang w:val="en-US" w:eastAsia="zh-CN" w:bidi="ar-SA"/>
          <w14:textFill>
            <w14:solidFill>
              <w14:schemeClr w14:val="tx1"/>
            </w14:solidFill>
          </w14:textFill>
        </w:rPr>
        <w:t>前期干旱，后期多雨的蜂糖李园应及时采取防裂措施，除开深沟排水外，还可进行树盘覆膜、树冠避雨，和树体喷施防裂剂。</w:t>
      </w:r>
    </w:p>
    <w:p>
      <w:pPr>
        <w:pStyle w:val="8"/>
        <w:numPr>
          <w:ilvl w:val="0"/>
          <w:numId w:val="0"/>
        </w:numPr>
        <w:rPr>
          <w:rFonts w:hint="eastAsia" w:ascii="Times New Roman" w:hAnsi="Times New Roman" w:eastAsia="仿宋_GB2312" w:cs="Times New Roman"/>
          <w:color w:val="000000" w:themeColor="text1"/>
          <w:kern w:val="2"/>
          <w:sz w:val="30"/>
          <w:szCs w:val="30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color w:val="000000" w:themeColor="text1"/>
          <w:kern w:val="2"/>
          <w:sz w:val="30"/>
          <w:szCs w:val="30"/>
          <w:lang w:val="en-US" w:eastAsia="zh-CN" w:bidi="ar-SA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74310" cy="3955415"/>
            <wp:effectExtent l="0" t="0" r="2540" b="6985"/>
            <wp:docPr id="3" name="图片 3" descr="IMG_83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83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0"/>
        <w:spacing w:line="240" w:lineRule="auto"/>
        <w:ind w:firstLine="0" w:firstLineChars="0"/>
        <w:jc w:val="center"/>
        <w:rPr>
          <w:rFonts w:hint="eastAsia" w:ascii="Times New Roman" w:hAnsi="Times New Roman" w:eastAsia="仿宋_GB2312"/>
          <w:color w:val="000000" w:themeColor="text1"/>
          <w:sz w:val="30"/>
          <w:szCs w:val="30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图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:lang w:eastAsia="zh-CN"/>
          <w14:textFill>
            <w14:solidFill>
              <w14:schemeClr w14:val="tx1"/>
            </w14:solidFill>
          </w14:textFill>
        </w:rPr>
        <w:t>生长季蜂糖李內膛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/>
        <w:textAlignment w:val="auto"/>
        <w:rPr>
          <w:rFonts w:hint="default" w:ascii="Times New Roman" w:hAnsi="Times New Roman" w:eastAsia="仿宋_GB2312" w:cs="Times New Roman"/>
          <w:color w:val="auto"/>
          <w:sz w:val="28"/>
          <w:szCs w:val="28"/>
        </w:rPr>
      </w:pPr>
      <w:r>
        <w:rPr>
          <w:rFonts w:hint="default" w:ascii="Times New Roman" w:hAnsi="Times New Roman" w:eastAsia="黑体" w:cs="Times New Roman"/>
          <w:color w:val="auto"/>
          <w:sz w:val="32"/>
          <w:szCs w:val="32"/>
        </w:rPr>
        <w:t>三、适宜区域</w:t>
      </w:r>
    </w:p>
    <w:p>
      <w:pPr>
        <w:snapToGrid w:val="0"/>
        <w:spacing w:line="600" w:lineRule="exact"/>
        <w:ind w:firstLine="600" w:firstLineChars="200"/>
        <w:rPr>
          <w:rFonts w:hint="default" w:ascii="Times New Roman" w:hAnsi="Times New Roman" w:eastAsia="仿宋_GB2312" w:cs="Times New Roman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_GB2312" w:cs="Times New Roman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镇宁、紫云、罗甸等蜂糖李主栽区。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/>
        <w:textAlignment w:val="auto"/>
        <w:rPr>
          <w:rFonts w:hint="default" w:ascii="Times New Roman" w:hAnsi="Times New Roman" w:eastAsia="仿宋_GB2312" w:cs="Times New Roman"/>
          <w:color w:val="000000"/>
          <w:sz w:val="28"/>
          <w:szCs w:val="28"/>
        </w:rPr>
      </w:pPr>
      <w:r>
        <w:rPr>
          <w:rFonts w:hint="default" w:ascii="Times New Roman" w:hAnsi="Times New Roman" w:eastAsia="黑体" w:cs="Times New Roman"/>
          <w:color w:val="000000"/>
          <w:sz w:val="32"/>
          <w:szCs w:val="32"/>
        </w:rPr>
        <w:t>四、注意事项</w:t>
      </w:r>
    </w:p>
    <w:p>
      <w:pPr>
        <w:adjustRightInd w:val="0"/>
        <w:snapToGrid w:val="0"/>
        <w:spacing w:line="600" w:lineRule="exact"/>
        <w:ind w:firstLine="640"/>
        <w:rPr>
          <w:rFonts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.</w:t>
      </w:r>
      <w:r>
        <w:rPr>
          <w:rFonts w:hint="eastAsia" w:ascii="Times New Roman" w:hAnsi="Times New Roman" w:eastAsia="仿宋_GB2312" w:cs="Times New Roman"/>
          <w:color w:val="000000" w:themeColor="text1"/>
          <w:kern w:val="2"/>
          <w:sz w:val="30"/>
          <w:szCs w:val="30"/>
          <w:lang w:val="en-US" w:eastAsia="zh-CN" w:bidi="ar-SA"/>
          <w14:textFill>
            <w14:solidFill>
              <w14:schemeClr w14:val="tx1"/>
            </w14:solidFill>
          </w14:textFill>
        </w:rPr>
        <w:t>冰雹高发区疏果可推迟至灾害隐患消除后进行。</w:t>
      </w:r>
    </w:p>
    <w:p>
      <w:pPr>
        <w:numPr>
          <w:ilvl w:val="0"/>
          <w:numId w:val="3"/>
        </w:numPr>
        <w:adjustRightInd w:val="0"/>
        <w:snapToGrid w:val="0"/>
        <w:spacing w:line="600" w:lineRule="exact"/>
        <w:ind w:firstLine="640"/>
        <w:rPr>
          <w:rFonts w:hint="default" w:ascii="Times New Roman" w:hAnsi="Times New Roman" w:eastAsia="仿宋_GB2312" w:cs="Times New Roman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仿宋_GB2312" w:cs="Times New Roman"/>
          <w:color w:val="000000" w:themeColor="text1"/>
          <w:sz w:val="30"/>
          <w:szCs w:val="30"/>
          <w:lang w:eastAsia="zh-CN"/>
          <w14:textFill>
            <w14:solidFill>
              <w14:schemeClr w14:val="tx1"/>
            </w14:solidFill>
          </w14:textFill>
        </w:rPr>
        <w:t>疏枝应在晴天进行，应及时保护伤口</w:t>
      </w:r>
      <w:r>
        <w:rPr>
          <w:rFonts w:hint="eastAsia" w:ascii="Times New Roman" w:hAnsi="Times New Roman" w:eastAsia="仿宋_GB2312" w:cs="Times New Roman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napToGrid w:val="0"/>
        <w:spacing w:line="560" w:lineRule="exact"/>
        <w:ind w:firstLine="640" w:firstLineChars="200"/>
        <w:textAlignment w:val="auto"/>
        <w:rPr>
          <w:rFonts w:hint="default" w:ascii="Times New Roman" w:hAnsi="Times New Roman" w:eastAsia="黑体" w:cs="Times New Roman"/>
          <w:color w:val="000000"/>
          <w:sz w:val="28"/>
          <w:szCs w:val="28"/>
        </w:rPr>
      </w:pPr>
      <w:r>
        <w:rPr>
          <w:rFonts w:hint="default" w:ascii="Times New Roman" w:hAnsi="Times New Roman" w:eastAsia="黑体" w:cs="Times New Roman"/>
          <w:color w:val="000000"/>
          <w:sz w:val="32"/>
          <w:szCs w:val="32"/>
        </w:rPr>
        <w:t>五、技术依托单位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560" w:firstLineChars="200"/>
        <w:textAlignment w:val="auto"/>
        <w:rPr>
          <w:rFonts w:hint="eastAsia" w:ascii="Times New Roman" w:hAnsi="Times New Roman" w:eastAsia="仿宋_GB2312" w:cs="Times New Roman"/>
          <w:color w:val="000000"/>
          <w:sz w:val="28"/>
          <w:szCs w:val="28"/>
          <w:lang w:eastAsia="zh-CN"/>
        </w:rPr>
      </w:pPr>
      <w:r>
        <w:rPr>
          <w:rFonts w:hint="default" w:ascii="Times New Roman" w:hAnsi="Times New Roman" w:eastAsia="仿宋_GB2312" w:cs="Times New Roman"/>
          <w:color w:val="000000"/>
          <w:sz w:val="28"/>
          <w:szCs w:val="28"/>
        </w:rPr>
        <w:t>1.</w:t>
      </w:r>
      <w:r>
        <w:rPr>
          <w:rFonts w:hint="eastAsia" w:ascii="Times New Roman" w:hAnsi="Times New Roman" w:eastAsia="仿宋_GB2312" w:cs="Times New Roman"/>
          <w:color w:val="000000"/>
          <w:sz w:val="28"/>
          <w:szCs w:val="28"/>
          <w:lang w:eastAsia="zh-CN"/>
        </w:rPr>
        <w:t>贵州省果树科学研究所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560" w:firstLineChars="200"/>
        <w:textAlignment w:val="auto"/>
        <w:rPr>
          <w:rFonts w:hint="default" w:ascii="Times New Roman" w:hAnsi="Times New Roman" w:eastAsia="仿宋_GB2312" w:cs="Times New Roman"/>
          <w:color w:val="000000"/>
          <w:sz w:val="28"/>
          <w:szCs w:val="28"/>
        </w:rPr>
      </w:pPr>
      <w:r>
        <w:rPr>
          <w:rFonts w:hint="default" w:ascii="Times New Roman" w:hAnsi="Times New Roman" w:eastAsia="仿宋_GB2312" w:cs="Times New Roman"/>
          <w:color w:val="000000"/>
          <w:sz w:val="28"/>
          <w:szCs w:val="28"/>
        </w:rPr>
        <w:t>联系地址：</w:t>
      </w:r>
      <w:r>
        <w:rPr>
          <w:rFonts w:hint="eastAsia" w:ascii="Times New Roman" w:hAnsi="Times New Roman" w:eastAsia="仿宋_GB2312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  <w:t>花溪区金竹镇金欣社区1号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560" w:firstLineChars="200"/>
        <w:textAlignment w:val="auto"/>
        <w:rPr>
          <w:rFonts w:hint="default" w:ascii="Times New Roman" w:hAnsi="Times New Roman" w:eastAsia="仿宋_GB2312" w:cs="Times New Roman"/>
          <w:color w:val="000000"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_GB2312" w:cs="Times New Roman"/>
          <w:color w:val="000000"/>
          <w:sz w:val="28"/>
          <w:szCs w:val="28"/>
        </w:rPr>
        <w:t>邮政编码：</w:t>
      </w:r>
      <w:r>
        <w:rPr>
          <w:rFonts w:hint="eastAsia" w:ascii="Times New Roman" w:hAnsi="Times New Roman" w:eastAsia="仿宋_GB2312" w:cs="Times New Roman"/>
          <w:color w:val="000000"/>
          <w:sz w:val="28"/>
          <w:szCs w:val="28"/>
          <w:lang w:val="en-US" w:eastAsia="zh-CN"/>
        </w:rPr>
        <w:t>550006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560" w:firstLineChars="200"/>
        <w:textAlignment w:val="auto"/>
        <w:rPr>
          <w:rFonts w:hint="eastAsia" w:ascii="Times New Roman" w:hAnsi="Times New Roman" w:eastAsia="仿宋_GB2312" w:cs="Times New Roman"/>
          <w:color w:val="000000"/>
          <w:sz w:val="28"/>
          <w:szCs w:val="28"/>
          <w:lang w:eastAsia="zh-CN"/>
        </w:rPr>
      </w:pPr>
      <w:r>
        <w:rPr>
          <w:rFonts w:hint="default" w:ascii="Times New Roman" w:hAnsi="Times New Roman" w:eastAsia="仿宋_GB2312" w:cs="Times New Roman"/>
          <w:color w:val="000000"/>
          <w:sz w:val="28"/>
          <w:szCs w:val="28"/>
        </w:rPr>
        <w:t>联 系 人：</w:t>
      </w:r>
      <w:r>
        <w:rPr>
          <w:rFonts w:hint="eastAsia" w:ascii="Times New Roman" w:hAnsi="Times New Roman" w:eastAsia="仿宋_GB2312" w:cs="Times New Roman"/>
          <w:color w:val="000000"/>
          <w:sz w:val="28"/>
          <w:szCs w:val="28"/>
          <w:lang w:eastAsia="zh-CN"/>
        </w:rPr>
        <w:t>张敏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560" w:firstLineChars="200"/>
        <w:textAlignment w:val="auto"/>
        <w:rPr>
          <w:rFonts w:hint="default" w:ascii="Times New Roman" w:hAnsi="Times New Roman" w:eastAsia="仿宋_GB2312" w:cs="Times New Roman"/>
          <w:color w:val="000000"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_GB2312" w:cs="Times New Roman"/>
          <w:color w:val="000000"/>
          <w:sz w:val="28"/>
          <w:szCs w:val="28"/>
        </w:rPr>
        <w:t>联系电话：</w:t>
      </w:r>
      <w:r>
        <w:rPr>
          <w:rFonts w:hint="eastAsia" w:ascii="Times New Roman" w:hAnsi="Times New Roman" w:eastAsia="仿宋_GB2312" w:cs="Times New Roman"/>
          <w:color w:val="000000"/>
          <w:sz w:val="28"/>
          <w:szCs w:val="28"/>
          <w:lang w:val="en-US" w:eastAsia="zh-CN"/>
        </w:rPr>
        <w:t>18884903729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560" w:firstLineChars="200"/>
        <w:textAlignment w:val="auto"/>
        <w:rPr>
          <w:rFonts w:hint="eastAsia" w:ascii="Times New Roman" w:hAnsi="Times New Roman" w:eastAsia="仿宋_GB2312" w:cs="Times New Roman"/>
          <w:color w:val="000000"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_GB2312" w:cs="Times New Roman"/>
          <w:color w:val="000000"/>
          <w:sz w:val="28"/>
          <w:szCs w:val="28"/>
        </w:rPr>
        <w:t>电子邮箱：</w:t>
      </w:r>
      <w:r>
        <w:rPr>
          <w:rFonts w:hint="eastAsia" w:ascii="Times New Roman" w:hAnsi="Times New Roman" w:eastAsia="仿宋_GB2312" w:cs="Times New Roman"/>
          <w:color w:val="000000"/>
          <w:sz w:val="28"/>
          <w:szCs w:val="28"/>
          <w:lang w:val="en-US" w:eastAsia="zh-CN"/>
        </w:rPr>
        <w:fldChar w:fldCharType="begin"/>
      </w:r>
      <w:r>
        <w:rPr>
          <w:rFonts w:hint="eastAsia" w:ascii="Times New Roman" w:hAnsi="Times New Roman" w:eastAsia="仿宋_GB2312" w:cs="Times New Roman"/>
          <w:color w:val="000000"/>
          <w:sz w:val="28"/>
          <w:szCs w:val="28"/>
          <w:lang w:val="en-US" w:eastAsia="zh-CN"/>
        </w:rPr>
        <w:instrText xml:space="preserve"> HYPERLINK "mailto:minz@sina.cn" </w:instrText>
      </w:r>
      <w:r>
        <w:rPr>
          <w:rFonts w:hint="eastAsia" w:ascii="Times New Roman" w:hAnsi="Times New Roman" w:eastAsia="仿宋_GB2312" w:cs="Times New Roman"/>
          <w:color w:val="000000"/>
          <w:sz w:val="28"/>
          <w:szCs w:val="28"/>
          <w:lang w:val="en-US" w:eastAsia="zh-CN"/>
        </w:rPr>
        <w:fldChar w:fldCharType="separate"/>
      </w:r>
      <w:r>
        <w:rPr>
          <w:rStyle w:val="5"/>
          <w:rFonts w:hint="eastAsia" w:ascii="Times New Roman" w:hAnsi="Times New Roman" w:eastAsia="仿宋_GB2312" w:cs="Times New Roman"/>
          <w:color w:val="000000"/>
          <w:sz w:val="28"/>
          <w:szCs w:val="28"/>
          <w:lang w:val="en-US" w:eastAsia="zh-CN"/>
        </w:rPr>
        <w:t>minz@sina.cn</w:t>
      </w:r>
      <w:r>
        <w:rPr>
          <w:rFonts w:hint="eastAsia" w:ascii="Times New Roman" w:hAnsi="Times New Roman" w:eastAsia="仿宋_GB2312" w:cs="Times New Roman"/>
          <w:color w:val="000000"/>
          <w:sz w:val="28"/>
          <w:szCs w:val="28"/>
          <w:lang w:val="en-US" w:eastAsia="zh-CN"/>
        </w:rPr>
        <w:fldChar w:fldCharType="end"/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560" w:firstLineChars="200"/>
        <w:textAlignment w:val="auto"/>
        <w:rPr>
          <w:rFonts w:hint="eastAsia" w:ascii="Times New Roman" w:hAnsi="Times New Roman" w:eastAsia="仿宋_GB2312" w:cs="Times New Roman"/>
          <w:color w:val="000000"/>
          <w:sz w:val="28"/>
          <w:szCs w:val="28"/>
          <w:lang w:val="en-US" w:eastAsia="zh-CN"/>
        </w:rPr>
      </w:pPr>
      <w:r>
        <w:rPr>
          <w:rFonts w:hint="eastAsia" w:ascii="Times New Roman" w:hAnsi="Times New Roman" w:eastAsia="仿宋_GB2312" w:cs="Times New Roman"/>
          <w:color w:val="000000"/>
          <w:sz w:val="28"/>
          <w:szCs w:val="28"/>
          <w:lang w:val="en-US" w:eastAsia="zh-CN"/>
        </w:rPr>
        <w:t>2.紫云县火花镇农业农村综合服务中心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560" w:firstLineChars="200"/>
        <w:textAlignment w:val="auto"/>
        <w:rPr>
          <w:rFonts w:hint="eastAsia" w:ascii="Times New Roman" w:hAnsi="Times New Roman" w:eastAsia="仿宋_GB2312" w:cs="Times New Roman"/>
          <w:color w:val="000000"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_GB2312" w:cs="Times New Roman"/>
          <w:color w:val="000000"/>
          <w:sz w:val="28"/>
          <w:szCs w:val="28"/>
        </w:rPr>
        <w:t>联系地址：火花镇禾弘村场坝组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560" w:firstLineChars="200"/>
        <w:textAlignment w:val="auto"/>
        <w:rPr>
          <w:rFonts w:hint="default" w:ascii="Times New Roman" w:hAnsi="Times New Roman" w:eastAsia="仿宋_GB2312" w:cs="Times New Roman"/>
          <w:color w:val="000000"/>
          <w:sz w:val="28"/>
          <w:szCs w:val="28"/>
        </w:rPr>
      </w:pPr>
      <w:r>
        <w:rPr>
          <w:rFonts w:hint="default" w:ascii="Times New Roman" w:hAnsi="Times New Roman" w:eastAsia="仿宋_GB2312" w:cs="Times New Roman"/>
          <w:color w:val="000000"/>
          <w:sz w:val="28"/>
          <w:szCs w:val="28"/>
        </w:rPr>
        <w:t>邮政编码：550800</w:t>
      </w:r>
    </w:p>
    <w:p>
      <w:pPr>
        <w:pStyle w:val="6"/>
        <w:rPr>
          <w:rFonts w:hint="eastAsia" w:ascii="Times New Roman" w:hAnsi="Times New Roman" w:eastAsia="仿宋_GB2312" w:cs="Times New Roman"/>
          <w:color w:val="000000"/>
          <w:sz w:val="28"/>
          <w:szCs w:val="28"/>
          <w:lang w:eastAsia="zh-CN"/>
        </w:rPr>
      </w:pPr>
      <w:r>
        <w:rPr>
          <w:rFonts w:hint="default" w:ascii="Times New Roman" w:hAnsi="Times New Roman" w:eastAsia="仿宋_GB2312" w:cs="Times New Roman"/>
          <w:color w:val="000000"/>
          <w:sz w:val="28"/>
          <w:szCs w:val="28"/>
        </w:rPr>
        <w:t>联 系 人</w:t>
      </w:r>
      <w:r>
        <w:rPr>
          <w:rFonts w:hint="eastAsia" w:eastAsia="仿宋_GB2312" w:cs="Times New Roman"/>
          <w:color w:val="000000"/>
          <w:sz w:val="28"/>
          <w:szCs w:val="28"/>
          <w:lang w:eastAsia="zh-CN"/>
        </w:rPr>
        <w:t>：彭金胜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560" w:firstLineChars="200"/>
        <w:textAlignment w:val="auto"/>
        <w:rPr>
          <w:rFonts w:hint="eastAsia" w:ascii="Times New Roman" w:hAnsi="Times New Roman" w:eastAsia="仿宋_GB2312" w:cs="Times New Roman"/>
          <w:color w:val="000000"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_GB2312" w:cs="Times New Roman"/>
          <w:color w:val="000000"/>
          <w:sz w:val="28"/>
          <w:szCs w:val="28"/>
        </w:rPr>
        <w:t>联系电话：</w:t>
      </w:r>
      <w:r>
        <w:rPr>
          <w:rFonts w:hint="eastAsia" w:ascii="Times New Roman" w:hAnsi="Times New Roman" w:eastAsia="仿宋_GB2312" w:cs="Times New Roman"/>
          <w:color w:val="000000"/>
          <w:sz w:val="28"/>
          <w:szCs w:val="28"/>
          <w:lang w:val="en-US" w:eastAsia="zh-CN"/>
        </w:rPr>
        <w:t>15185445797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560" w:firstLineChars="200"/>
        <w:textAlignment w:val="auto"/>
        <w:rPr>
          <w:rFonts w:hint="eastAsia" w:ascii="Times New Roman" w:hAnsi="Times New Roman" w:eastAsia="仿宋_GB2312" w:cs="Times New Roman"/>
          <w:color w:val="000000"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_GB2312" w:cs="Times New Roman"/>
          <w:color w:val="000000"/>
          <w:sz w:val="28"/>
          <w:szCs w:val="28"/>
        </w:rPr>
        <w:t>电子邮箱：</w:t>
      </w:r>
      <w:r>
        <w:rPr>
          <w:rFonts w:hint="eastAsia" w:ascii="Times New Roman" w:hAnsi="Times New Roman" w:eastAsia="仿宋_GB2312" w:cs="Times New Roman"/>
          <w:color w:val="000000"/>
          <w:sz w:val="28"/>
          <w:szCs w:val="28"/>
          <w:lang w:val="en-US" w:eastAsia="zh-CN"/>
        </w:rPr>
        <w:t>hhxzf123456@126.com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560" w:firstLineChars="200"/>
        <w:textAlignment w:val="auto"/>
        <w:rPr>
          <w:rFonts w:hint="eastAsia" w:ascii="Times New Roman" w:hAnsi="Times New Roman" w:eastAsia="仿宋_GB2312" w:cs="Times New Roman"/>
          <w:color w:val="000000"/>
          <w:sz w:val="28"/>
          <w:szCs w:val="28"/>
          <w:lang w:val="en-US" w:eastAsia="zh-CN"/>
        </w:rPr>
      </w:pPr>
      <w:r>
        <w:rPr>
          <w:rFonts w:hint="eastAsia" w:ascii="Times New Roman" w:hAnsi="Times New Roman" w:eastAsia="仿宋_GB2312" w:cs="Times New Roman"/>
          <w:color w:val="000000"/>
          <w:sz w:val="28"/>
          <w:szCs w:val="28"/>
          <w:lang w:val="en-US" w:eastAsia="zh-CN"/>
        </w:rPr>
        <w:t>3.镇宁县六马镇农业农村综合服务中心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560" w:firstLineChars="200"/>
        <w:textAlignment w:val="auto"/>
        <w:rPr>
          <w:rFonts w:hint="eastAsia" w:ascii="Times New Roman" w:hAnsi="Times New Roman" w:eastAsia="仿宋_GB2312" w:cs="Times New Roman"/>
          <w:color w:val="000000"/>
          <w:sz w:val="28"/>
          <w:szCs w:val="28"/>
          <w:lang w:val="en-US" w:eastAsia="zh-CN"/>
        </w:rPr>
      </w:pPr>
      <w:r>
        <w:rPr>
          <w:rFonts w:hint="eastAsia" w:ascii="Times New Roman" w:hAnsi="Times New Roman" w:eastAsia="仿宋_GB2312" w:cs="Times New Roman"/>
          <w:color w:val="000000"/>
          <w:sz w:val="28"/>
          <w:szCs w:val="28"/>
          <w:lang w:val="en-US" w:eastAsia="zh-CN"/>
        </w:rPr>
        <w:t>联系地址：镇宁县六马镇板乐社区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560" w:firstLineChars="200"/>
        <w:textAlignment w:val="auto"/>
        <w:rPr>
          <w:rFonts w:hint="eastAsia" w:ascii="Times New Roman" w:hAnsi="Times New Roman" w:eastAsia="仿宋_GB2312" w:cs="Times New Roman"/>
          <w:color w:val="000000"/>
          <w:sz w:val="28"/>
          <w:szCs w:val="28"/>
          <w:lang w:val="en-US" w:eastAsia="zh-CN"/>
        </w:rPr>
      </w:pPr>
      <w:r>
        <w:rPr>
          <w:rFonts w:hint="eastAsia" w:ascii="Times New Roman" w:hAnsi="Times New Roman" w:eastAsia="仿宋_GB2312" w:cs="Times New Roman"/>
          <w:color w:val="000000"/>
          <w:sz w:val="28"/>
          <w:szCs w:val="28"/>
          <w:lang w:val="en-US" w:eastAsia="zh-CN"/>
        </w:rPr>
        <w:t>邮政编码：561204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560" w:firstLineChars="200"/>
        <w:textAlignment w:val="auto"/>
        <w:rPr>
          <w:rFonts w:hint="eastAsia" w:ascii="Times New Roman" w:hAnsi="Times New Roman" w:eastAsia="仿宋_GB2312" w:cs="Times New Roman"/>
          <w:color w:val="000000"/>
          <w:sz w:val="28"/>
          <w:szCs w:val="28"/>
          <w:lang w:val="en-US" w:eastAsia="zh-CN"/>
        </w:rPr>
      </w:pPr>
      <w:r>
        <w:rPr>
          <w:rFonts w:hint="eastAsia" w:ascii="Times New Roman" w:hAnsi="Times New Roman" w:eastAsia="仿宋_GB2312" w:cs="Times New Roman"/>
          <w:color w:val="000000"/>
          <w:sz w:val="28"/>
          <w:szCs w:val="28"/>
          <w:lang w:val="en-US" w:eastAsia="zh-CN"/>
        </w:rPr>
        <w:t>联 系 人：伍超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560" w:firstLineChars="200"/>
        <w:textAlignment w:val="auto"/>
        <w:rPr>
          <w:rFonts w:hint="eastAsia" w:ascii="Times New Roman" w:hAnsi="Times New Roman" w:eastAsia="仿宋_GB2312" w:cs="Times New Roman"/>
          <w:color w:val="000000"/>
          <w:sz w:val="28"/>
          <w:szCs w:val="28"/>
          <w:lang w:val="en-US" w:eastAsia="zh-CN"/>
        </w:rPr>
      </w:pPr>
      <w:r>
        <w:rPr>
          <w:rFonts w:hint="eastAsia" w:ascii="Times New Roman" w:hAnsi="Times New Roman" w:eastAsia="仿宋_GB2312" w:cs="Times New Roman"/>
          <w:color w:val="000000"/>
          <w:sz w:val="28"/>
          <w:szCs w:val="28"/>
          <w:lang w:val="en-US" w:eastAsia="zh-CN"/>
        </w:rPr>
        <w:t>联系电话：13908537211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560" w:firstLineChars="200"/>
        <w:textAlignment w:val="auto"/>
        <w:rPr>
          <w:rFonts w:hint="eastAsia" w:ascii="Times New Roman" w:hAnsi="Times New Roman" w:eastAsia="仿宋_GB2312" w:cs="Times New Roman"/>
          <w:color w:val="000000"/>
          <w:sz w:val="28"/>
          <w:szCs w:val="28"/>
          <w:lang w:val="en-US" w:eastAsia="zh-CN"/>
        </w:rPr>
      </w:pPr>
      <w:r>
        <w:rPr>
          <w:rFonts w:hint="eastAsia" w:ascii="Times New Roman" w:hAnsi="Times New Roman" w:eastAsia="仿宋_GB2312" w:cs="Times New Roman"/>
          <w:color w:val="000000"/>
          <w:sz w:val="28"/>
          <w:szCs w:val="28"/>
          <w:lang w:val="en-US" w:eastAsia="zh-CN"/>
        </w:rPr>
        <w:t>电子邮箱：1395728@qq.com</w:t>
      </w:r>
    </w:p>
    <w:p>
      <w:bookmarkStart w:id="0" w:name="_GoBack"/>
      <w:bookmarkEnd w:id="0"/>
    </w:p>
    <w:sectPr>
      <w:pgSz w:w="11906" w:h="16838"/>
      <w:pgMar w:top="1440" w:right="1800" w:bottom="1440" w:left="1800" w:header="851" w:footer="1134" w:gutter="0"/>
      <w:pgNumType w:fmt="decimal"/>
      <w:cols w:space="72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Times New Roman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仿宋_GBK">
    <w:panose1 w:val="02000000000000000000"/>
    <w:charset w:val="86"/>
    <w:family w:val="auto"/>
    <w:pitch w:val="default"/>
    <w:sig w:usb0="00000001" w:usb1="0800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5A770C6"/>
    <w:multiLevelType w:val="singleLevel"/>
    <w:tmpl w:val="A5A770C6"/>
    <w:lvl w:ilvl="0" w:tentative="0">
      <w:start w:val="2"/>
      <w:numFmt w:val="decimal"/>
      <w:suff w:val="space"/>
      <w:lvlText w:val="%1."/>
      <w:lvlJc w:val="left"/>
    </w:lvl>
  </w:abstractNum>
  <w:abstractNum w:abstractNumId="1">
    <w:nsid w:val="CEE88576"/>
    <w:multiLevelType w:val="singleLevel"/>
    <w:tmpl w:val="CEE88576"/>
    <w:lvl w:ilvl="0" w:tentative="0">
      <w:start w:val="4"/>
      <w:numFmt w:val="decimal"/>
      <w:suff w:val="space"/>
      <w:lvlText w:val="%1."/>
      <w:lvlJc w:val="left"/>
    </w:lvl>
  </w:abstractNum>
  <w:abstractNum w:abstractNumId="2">
    <w:nsid w:val="787B6E06"/>
    <w:multiLevelType w:val="singleLevel"/>
    <w:tmpl w:val="787B6E06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kyMDhiYjY1ZmY4ZmYyMjMwMDJkN2E4YTZlNDU2N2IifQ=="/>
  </w:docVars>
  <w:rsids>
    <w:rsidRoot w:val="E7FF4F82"/>
    <w:rsid w:val="03C055D4"/>
    <w:rsid w:val="06712638"/>
    <w:rsid w:val="0E3A7984"/>
    <w:rsid w:val="1C744D1F"/>
    <w:rsid w:val="25D545A5"/>
    <w:rsid w:val="302875AD"/>
    <w:rsid w:val="333F6659"/>
    <w:rsid w:val="3B86087B"/>
    <w:rsid w:val="404209E8"/>
    <w:rsid w:val="40CA5CFC"/>
    <w:rsid w:val="43985EB7"/>
    <w:rsid w:val="44073946"/>
    <w:rsid w:val="456974B2"/>
    <w:rsid w:val="472707CD"/>
    <w:rsid w:val="4D432983"/>
    <w:rsid w:val="59E73B33"/>
    <w:rsid w:val="5FFF35FF"/>
    <w:rsid w:val="6C416227"/>
    <w:rsid w:val="6CF763B2"/>
    <w:rsid w:val="717E37DF"/>
    <w:rsid w:val="760C5755"/>
    <w:rsid w:val="79766424"/>
    <w:rsid w:val="E7FF4F82"/>
    <w:rsid w:val="FF6F6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header"/>
    <w:basedOn w:val="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5">
    <w:name w:val="Hyperlink"/>
    <w:basedOn w:val="4"/>
    <w:qFormat/>
    <w:uiPriority w:val="0"/>
    <w:rPr>
      <w:color w:val="0000FF"/>
      <w:u w:val="single"/>
    </w:rPr>
  </w:style>
  <w:style w:type="paragraph" w:customStyle="1" w:styleId="6">
    <w:name w:val="正文-公1"/>
    <w:basedOn w:val="7"/>
    <w:next w:val="2"/>
    <w:qFormat/>
    <w:uiPriority w:val="0"/>
    <w:pPr>
      <w:ind w:firstLine="200" w:firstLineChars="200"/>
    </w:pPr>
    <w:rPr>
      <w:color w:val="000000"/>
    </w:rPr>
  </w:style>
  <w:style w:type="paragraph" w:customStyle="1" w:styleId="7">
    <w:name w:val="正文 New"/>
    <w:next w:val="6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8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Office_11.8.2.12313_F1E327BC-269C-435d-A152-05C5408002CA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2024-10-17T01:07:00Z</dcterms:created>
  <dc:creator>ysgz</dc:creator>
  <cp:lastModifiedBy>ysgz</cp:lastModifiedBy>
  <dcterms:modified xsi:type="dcterms:W3CDTF">2025-01-09T19:20:49Z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2052-11.8.2.12313</vt:lpwstr>
  </property>
  <property fmtid="{D5CDD505-2E9C-101B-9397-08002B2CF9AE}" pid="3" name="ICV">
    <vt:lpwstr>3D4C1427126848E6A1B12213410D5149_13</vt:lpwstr>
  </property>
</Properties>
</file>