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gif" ContentType="image/gi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1720"/>
        </w:tabs>
        <w:adjustRightInd w:val="0"/>
        <w:snapToGrid w:val="0"/>
        <w:spacing w:line="600" w:lineRule="auto"/>
        <w:jc w:val="center"/>
        <w:rPr>
          <w:rFonts w:ascii="Times New Roman" w:hAnsi="Times New Roman" w:cs="Times New Roman"/>
          <w:b/>
          <w:color w:val="000000"/>
          <w:sz w:val="32"/>
          <w:szCs w:val="32"/>
        </w:rPr>
      </w:pPr>
      <w:r>
        <w:rPr>
          <w:rFonts w:hint="eastAsia" w:ascii="宋体" w:hAnsi="宋体" w:eastAsia="宋体" w:cs="宋体"/>
          <w:b w:val="0"/>
          <w:bCs/>
          <w:color w:val="000000"/>
          <w:sz w:val="21"/>
          <w:szCs w:val="21"/>
          <w:lang w:val="en-US" w:eastAsia="zh-CN"/>
        </w:rPr>
        <w:t xml:space="preserve"> </w:t>
      </w:r>
      <w:bookmarkStart w:id="1" w:name="_GoBack"/>
      <w:bookmarkEnd w:id="1"/>
      <w:r>
        <w:rPr>
          <w:rFonts w:ascii="Times New Roman" w:hAnsi="Times New Roman" w:cs="Times New Roman"/>
          <w:b/>
          <w:color w:val="000000"/>
          <w:sz w:val="32"/>
          <w:szCs w:val="32"/>
        </w:rPr>
        <w:t>丘陵山地甘薯轻简化栽培技术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2" w:firstLineChars="200"/>
        <w:jc w:val="lef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一、技术概述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643" w:firstLineChars="200"/>
        <w:jc w:val="left"/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（一）技术基本情况</w:t>
      </w:r>
    </w:p>
    <w:p>
      <w:pPr>
        <w:adjustRightInd w:val="0"/>
        <w:snapToGrid w:val="0"/>
        <w:spacing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甘薯耐旱、耐瘠，适应性广，且用途广泛，可鲜食、加工，是重要的粮食及经济作物，贵州省常年种植面积在380万亩以上。贵州是典型的高原山地喀斯特地区，针对贵州多丘陵山地、土地破碎等地形地貌，开展了系类研究和技术集成，选育了宜机化品种，形成了黑膜覆盖、平行栽插、化学调控、农机配套、绿色防控等“丘陵山地甘薯轻简化栽培技术”体系，在示范推广中，该技术可提高单位面积产量24%以上，节省劳动力成本10%以上。应用该项技术解决了丘陵山地因地块破碎而机械化利用低，人工成本高等问题；应用该项技术即可提高单位面积产量，还可以提高产品品质，降低劳动力成本，实现增产增效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jc w:val="both"/>
        <w:rPr>
          <w:rFonts w:hint="eastAsia"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丘陵山地甘薯轻简化栽培技术的核心内容“甘薯白绢病药剂防治方法（ZL201310295341.1）、超市型甘薯单垄双行平行栽培模式（ZL201420146901.7）”等专利在2013年～2014年授权推广实施；“绿色食品紫心甘薯生产技术规程（DB52/T856-2013）、甘薯主要地下害虫综合防治技术规程（DB52/T857-2013）、甘薯田间肥效试验技术规程（DB52/T858-2013）”等技术规程于2013年发布为贵州省地方技术标准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643" w:firstLineChars="200"/>
        <w:jc w:val="left"/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（二）技术示范推广情况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2013年～202</w:t>
      </w:r>
      <w:r>
        <w:rPr>
          <w:rFonts w:hint="eastAsia" w:ascii="仿宋" w:hAnsi="仿宋" w:eastAsia="仿宋" w:cs="Times New Roman"/>
          <w:sz w:val="28"/>
          <w:szCs w:val="28"/>
        </w:rPr>
        <w:t>3</w:t>
      </w:r>
      <w:r>
        <w:rPr>
          <w:rFonts w:ascii="仿宋" w:hAnsi="仿宋" w:eastAsia="仿宋" w:cs="Times New Roman"/>
          <w:sz w:val="28"/>
          <w:szCs w:val="28"/>
        </w:rPr>
        <w:t>年在贵阳市、遵义市、黔东南、黔南等地累计建立核心示范基地6000余亩，累计产值达2100万元，分别带动农户种植70余万亩，示范基地平均产量比当地传统种植增产24%以上，平均节省劳动力成本10%以上。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目前该技术正在贵阳市、安顺市、黔东南州、遵义市、铜仁市等我省大部分甘薯主栽地区推广应用宜机化甘薯新品种、黑膜覆盖、农机配套等甘薯轻简化栽培技术。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643" w:firstLineChars="200"/>
        <w:jc w:val="both"/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（三）提质增效情况</w:t>
      </w:r>
    </w:p>
    <w:p>
      <w:pPr>
        <w:pStyle w:val="10"/>
        <w:adjustRightInd w:val="0"/>
        <w:snapToGrid w:val="0"/>
        <w:ind w:firstLine="560"/>
        <w:jc w:val="both"/>
        <w:rPr>
          <w:rFonts w:ascii="仿宋" w:hAnsi="仿宋" w:eastAsia="仿宋"/>
          <w:kern w:val="2"/>
          <w:sz w:val="28"/>
          <w:szCs w:val="28"/>
          <w:lang w:eastAsia="zh-CN"/>
        </w:rPr>
      </w:pPr>
      <w:r>
        <w:rPr>
          <w:rFonts w:ascii="仿宋" w:hAnsi="仿宋" w:eastAsia="仿宋"/>
          <w:kern w:val="2"/>
          <w:sz w:val="28"/>
          <w:szCs w:val="28"/>
          <w:lang w:eastAsia="zh-CN"/>
        </w:rPr>
        <w:t>高效、轻简化栽培技术程序：机械耕整地-机械起垄-小型拖拉机覆膜-</w:t>
      </w:r>
      <w:r>
        <w:rPr>
          <w:rFonts w:hint="eastAsia" w:ascii="仿宋" w:hAnsi="仿宋" w:eastAsia="仿宋"/>
          <w:kern w:val="2"/>
          <w:sz w:val="28"/>
          <w:szCs w:val="28"/>
          <w:lang w:eastAsia="zh-CN"/>
        </w:rPr>
        <w:t>机械移栽或</w:t>
      </w:r>
      <w:r>
        <w:rPr>
          <w:rFonts w:ascii="仿宋" w:hAnsi="仿宋" w:eastAsia="仿宋"/>
          <w:kern w:val="2"/>
          <w:sz w:val="28"/>
          <w:szCs w:val="28"/>
          <w:lang w:eastAsia="zh-CN"/>
        </w:rPr>
        <w:t>用插苗棒</w:t>
      </w:r>
      <w:r>
        <w:rPr>
          <w:rFonts w:hint="eastAsia" w:ascii="仿宋" w:hAnsi="仿宋" w:eastAsia="仿宋"/>
          <w:kern w:val="2"/>
          <w:sz w:val="28"/>
          <w:szCs w:val="28"/>
          <w:lang w:eastAsia="zh-CN"/>
        </w:rPr>
        <w:t>（移栽器）</w:t>
      </w:r>
      <w:r>
        <w:rPr>
          <w:rFonts w:ascii="仿宋" w:hAnsi="仿宋" w:eastAsia="仿宋"/>
          <w:kern w:val="2"/>
          <w:sz w:val="28"/>
          <w:szCs w:val="28"/>
          <w:lang w:eastAsia="zh-CN"/>
        </w:rPr>
        <w:t>将薯苗插入-封土-机械收获。亩需劳动力1～2个，比传统栽培节省劳动力1倍以上，且劳动强度下降。</w:t>
      </w:r>
    </w:p>
    <w:p>
      <w:pPr>
        <w:adjustRightInd w:val="0"/>
        <w:snapToGrid w:val="0"/>
        <w:spacing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本项技术通过筛选利用结薯较浅、短纺锤形的宜机化品种，一方面有利于机械化收获，另一方面促进甘薯品种更新换代，提高产量和品质。通过推广应用黑膜覆盖具有改善土壤理化性状，使土壤保持湿润松散，有利于机械化收获；同时，覆盖黑膜还可以提高产量，增产24%以上；还具有减少杂草危害，降低人工除草成本等作用。通过推广应用单垄双行平行栽插模式，可以使薯块结薯浅、薯形整齐，便于机械化收获。通过应用吨田宝、希效唑等化控剂调控蔓长，促进地下部薯块物质积累，提高产量，改善品质，有利于机械化割蔓。通过根据不同地形地块选用合理的机械设备，≤3亩地块，应用微耕机或18马力手扶拖拉机耕地、起垄、覆膜、收获；≥3亩地块，用75马力拖拉机耕地、起垄、覆膜、收获。将各项技术集成甘薯轻简化栽培技术，较传统种植技术提高产量24%以上，降低人工成本10%以上，增产增效效果明显。</w:t>
      </w:r>
    </w:p>
    <w:p>
      <w:pPr>
        <w:adjustRightInd w:val="0"/>
        <w:snapToGrid w:val="0"/>
        <w:spacing w:line="360" w:lineRule="auto"/>
        <w:ind w:firstLine="560" w:firstLineChars="200"/>
        <w:jc w:val="both"/>
        <w:rPr>
          <w:rFonts w:ascii="仿宋" w:hAnsi="仿宋" w:eastAsia="仿宋" w:cs="Times New Roman"/>
          <w:sz w:val="28"/>
          <w:szCs w:val="28"/>
        </w:rPr>
      </w:pPr>
      <w:r>
        <w:rPr>
          <w:rFonts w:ascii="仿宋" w:hAnsi="仿宋" w:eastAsia="仿宋" w:cs="Times New Roman"/>
          <w:sz w:val="28"/>
          <w:szCs w:val="28"/>
        </w:rPr>
        <w:t>推广应用甘薯轻简化栽培技术，解决了丘陵山地因地块破碎不平整难以机械化操作的难题，及人工成本高、产量低等问题；推广应用该项技术即可提高单位面积产量，还可以提高产品品质，降低劳动力成本，实现增产增效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643" w:firstLineChars="200"/>
        <w:jc w:val="left"/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（四）技术获奖情况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" w:hAnsi="仿宋" w:eastAsia="仿宋" w:cs="Meiryo UI"/>
          <w:sz w:val="28"/>
          <w:szCs w:val="28"/>
        </w:rPr>
      </w:pPr>
      <w:r>
        <w:rPr>
          <w:rFonts w:ascii="仿宋" w:hAnsi="仿宋" w:eastAsia="仿宋" w:cs="Meiryo UI"/>
          <w:sz w:val="28"/>
          <w:szCs w:val="28"/>
        </w:rPr>
        <w:t>1、</w:t>
      </w:r>
      <w:r>
        <w:rPr>
          <w:rFonts w:hint="eastAsia" w:ascii="仿宋" w:hAnsi="仿宋" w:eastAsia="仿宋" w:cs="Meiryo UI"/>
          <w:sz w:val="28"/>
          <w:szCs w:val="28"/>
        </w:rPr>
        <w:t>2013年通</w:t>
      </w:r>
      <w:r>
        <w:rPr>
          <w:rFonts w:hint="eastAsia" w:ascii="仿宋" w:hAnsi="仿宋" w:eastAsia="仿宋" w:cs="宋体"/>
          <w:sz w:val="28"/>
          <w:szCs w:val="28"/>
        </w:rPr>
        <w:t>过</w:t>
      </w:r>
      <w:r>
        <w:rPr>
          <w:rFonts w:hint="eastAsia" w:ascii="仿宋" w:hAnsi="仿宋" w:eastAsia="仿宋" w:cs="Meiryo UI"/>
          <w:sz w:val="28"/>
          <w:szCs w:val="28"/>
        </w:rPr>
        <w:t>“品种+轻简化技</w:t>
      </w:r>
      <w:r>
        <w:rPr>
          <w:rFonts w:hint="eastAsia" w:ascii="仿宋" w:hAnsi="仿宋" w:eastAsia="仿宋" w:cs="宋体"/>
          <w:sz w:val="28"/>
          <w:szCs w:val="28"/>
        </w:rPr>
        <w:t>术</w:t>
      </w:r>
      <w:r>
        <w:rPr>
          <w:rFonts w:hint="eastAsia" w:ascii="仿宋" w:hAnsi="仿宋" w:eastAsia="仿宋" w:cs="Meiryo UI"/>
          <w:sz w:val="28"/>
          <w:szCs w:val="28"/>
        </w:rPr>
        <w:t>”示范</w:t>
      </w:r>
      <w:r>
        <w:rPr>
          <w:rFonts w:hint="eastAsia" w:ascii="仿宋" w:hAnsi="仿宋" w:eastAsia="仿宋" w:cs="宋体"/>
          <w:sz w:val="28"/>
          <w:szCs w:val="28"/>
        </w:rPr>
        <w:t>应</w:t>
      </w:r>
      <w:r>
        <w:rPr>
          <w:rFonts w:hint="eastAsia" w:ascii="仿宋" w:hAnsi="仿宋" w:eastAsia="仿宋" w:cs="Meiryo UI"/>
          <w:sz w:val="28"/>
          <w:szCs w:val="28"/>
        </w:rPr>
        <w:t>用，</w:t>
      </w:r>
      <w:r>
        <w:rPr>
          <w:rFonts w:hint="eastAsia" w:ascii="仿宋" w:hAnsi="仿宋" w:eastAsia="仿宋" w:cs="宋体"/>
          <w:sz w:val="28"/>
          <w:szCs w:val="28"/>
        </w:rPr>
        <w:t>获</w:t>
      </w:r>
      <w:r>
        <w:rPr>
          <w:rFonts w:hint="eastAsia" w:ascii="仿宋" w:hAnsi="仿宋" w:eastAsia="仿宋" w:cs="Meiryo UI"/>
          <w:sz w:val="28"/>
          <w:szCs w:val="28"/>
        </w:rPr>
        <w:t>得</w:t>
      </w:r>
      <w:r>
        <w:rPr>
          <w:rFonts w:ascii="仿宋" w:hAnsi="仿宋" w:eastAsia="仿宋" w:cs="Meiryo UI"/>
          <w:sz w:val="28"/>
          <w:szCs w:val="28"/>
        </w:rPr>
        <w:t>第三届“柳絮杯”全国甘薯高</w:t>
      </w:r>
      <w:r>
        <w:rPr>
          <w:rFonts w:hint="eastAsia" w:ascii="仿宋" w:hAnsi="仿宋" w:eastAsia="仿宋" w:cs="宋体"/>
          <w:sz w:val="28"/>
          <w:szCs w:val="28"/>
        </w:rPr>
        <w:t>产竞赛长</w:t>
      </w:r>
      <w:r>
        <w:rPr>
          <w:rFonts w:hint="eastAsia" w:ascii="仿宋" w:hAnsi="仿宋" w:eastAsia="仿宋" w:cs="Meiryo UI"/>
          <w:sz w:val="28"/>
          <w:szCs w:val="28"/>
        </w:rPr>
        <w:t>江中下游薯区高淀粉</w:t>
      </w:r>
      <w:r>
        <w:rPr>
          <w:rFonts w:hint="eastAsia" w:ascii="仿宋" w:hAnsi="仿宋" w:eastAsia="仿宋" w:cs="宋体"/>
          <w:sz w:val="28"/>
          <w:szCs w:val="28"/>
        </w:rPr>
        <w:t>组</w:t>
      </w:r>
      <w:r>
        <w:rPr>
          <w:rFonts w:hint="eastAsia" w:ascii="仿宋" w:hAnsi="仿宋" w:eastAsia="仿宋" w:cs="Meiryo UI"/>
          <w:sz w:val="28"/>
          <w:szCs w:val="28"/>
        </w:rPr>
        <w:t>冠</w:t>
      </w:r>
      <w:r>
        <w:rPr>
          <w:rFonts w:hint="eastAsia" w:ascii="仿宋" w:hAnsi="仿宋" w:eastAsia="仿宋" w:cs="宋体"/>
          <w:sz w:val="28"/>
          <w:szCs w:val="28"/>
        </w:rPr>
        <w:t>军</w:t>
      </w:r>
      <w:r>
        <w:rPr>
          <w:rFonts w:hint="eastAsia" w:ascii="仿宋" w:hAnsi="仿宋" w:eastAsia="仿宋" w:cs="Meiryo UI"/>
          <w:sz w:val="28"/>
          <w:szCs w:val="28"/>
        </w:rPr>
        <w:t>；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" w:hAnsi="仿宋" w:eastAsia="仿宋" w:cs="Meiryo UI"/>
          <w:sz w:val="28"/>
          <w:szCs w:val="28"/>
        </w:rPr>
      </w:pPr>
      <w:r>
        <w:rPr>
          <w:rFonts w:ascii="仿宋" w:hAnsi="仿宋" w:eastAsia="仿宋" w:cs="Meiryo UI"/>
          <w:sz w:val="28"/>
          <w:szCs w:val="28"/>
        </w:rPr>
        <w:t>2、</w:t>
      </w:r>
      <w:r>
        <w:rPr>
          <w:rFonts w:hint="eastAsia" w:ascii="仿宋" w:hAnsi="仿宋" w:eastAsia="仿宋" w:cs="Meiryo UI"/>
          <w:sz w:val="28"/>
          <w:szCs w:val="28"/>
        </w:rPr>
        <w:t>2015年通</w:t>
      </w:r>
      <w:r>
        <w:rPr>
          <w:rFonts w:hint="eastAsia" w:ascii="仿宋" w:hAnsi="仿宋" w:eastAsia="仿宋" w:cs="宋体"/>
          <w:sz w:val="28"/>
          <w:szCs w:val="28"/>
        </w:rPr>
        <w:t>过</w:t>
      </w:r>
      <w:r>
        <w:rPr>
          <w:rFonts w:hint="eastAsia" w:ascii="仿宋" w:hAnsi="仿宋" w:eastAsia="仿宋" w:cs="Meiryo UI"/>
          <w:sz w:val="28"/>
          <w:szCs w:val="28"/>
        </w:rPr>
        <w:t>“品种+轻简化技</w:t>
      </w:r>
      <w:r>
        <w:rPr>
          <w:rFonts w:hint="eastAsia" w:ascii="仿宋" w:hAnsi="仿宋" w:eastAsia="仿宋" w:cs="宋体"/>
          <w:sz w:val="28"/>
          <w:szCs w:val="28"/>
        </w:rPr>
        <w:t>术</w:t>
      </w:r>
      <w:r>
        <w:rPr>
          <w:rFonts w:hint="eastAsia" w:ascii="仿宋" w:hAnsi="仿宋" w:eastAsia="仿宋" w:cs="Meiryo UI"/>
          <w:sz w:val="28"/>
          <w:szCs w:val="28"/>
        </w:rPr>
        <w:t>”示范</w:t>
      </w:r>
      <w:r>
        <w:rPr>
          <w:rFonts w:hint="eastAsia" w:ascii="仿宋" w:hAnsi="仿宋" w:eastAsia="仿宋" w:cs="宋体"/>
          <w:sz w:val="28"/>
          <w:szCs w:val="28"/>
        </w:rPr>
        <w:t>应</w:t>
      </w:r>
      <w:r>
        <w:rPr>
          <w:rFonts w:hint="eastAsia" w:ascii="仿宋" w:hAnsi="仿宋" w:eastAsia="仿宋" w:cs="Meiryo UI"/>
          <w:sz w:val="28"/>
          <w:szCs w:val="28"/>
        </w:rPr>
        <w:t>用，</w:t>
      </w:r>
      <w:r>
        <w:rPr>
          <w:rFonts w:hint="eastAsia" w:ascii="仿宋" w:hAnsi="仿宋" w:eastAsia="仿宋" w:cs="宋体"/>
          <w:sz w:val="28"/>
          <w:szCs w:val="28"/>
        </w:rPr>
        <w:t>获</w:t>
      </w:r>
      <w:r>
        <w:rPr>
          <w:rFonts w:hint="eastAsia" w:ascii="仿宋" w:hAnsi="仿宋" w:eastAsia="仿宋" w:cs="Meiryo UI"/>
          <w:sz w:val="28"/>
          <w:szCs w:val="28"/>
        </w:rPr>
        <w:t>得</w:t>
      </w:r>
      <w:r>
        <w:rPr>
          <w:rFonts w:ascii="仿宋" w:hAnsi="仿宋" w:eastAsia="仿宋" w:cs="Meiryo UI"/>
          <w:sz w:val="28"/>
          <w:szCs w:val="28"/>
        </w:rPr>
        <w:t>第五届全国甘薯“</w:t>
      </w:r>
      <w:r>
        <w:rPr>
          <w:rFonts w:hint="eastAsia" w:ascii="仿宋" w:hAnsi="仿宋" w:eastAsia="仿宋" w:cs="宋体"/>
          <w:sz w:val="28"/>
          <w:szCs w:val="28"/>
        </w:rPr>
        <w:t>农</w:t>
      </w:r>
      <w:r>
        <w:rPr>
          <w:rFonts w:hint="eastAsia" w:ascii="仿宋" w:hAnsi="仿宋" w:eastAsia="仿宋" w:cs="Meiryo UI"/>
          <w:sz w:val="28"/>
          <w:szCs w:val="28"/>
        </w:rPr>
        <w:t>大肥</w:t>
      </w:r>
      <w:r>
        <w:rPr>
          <w:rFonts w:hint="eastAsia" w:ascii="仿宋" w:hAnsi="仿宋" w:eastAsia="仿宋" w:cs="宋体"/>
          <w:sz w:val="28"/>
          <w:szCs w:val="28"/>
        </w:rPr>
        <w:t>业</w:t>
      </w:r>
      <w:r>
        <w:rPr>
          <w:rFonts w:hint="eastAsia" w:ascii="仿宋" w:hAnsi="仿宋" w:eastAsia="仿宋" w:cs="Meiryo UI"/>
          <w:sz w:val="28"/>
          <w:szCs w:val="28"/>
        </w:rPr>
        <w:t>杯</w:t>
      </w:r>
      <w:r>
        <w:rPr>
          <w:rFonts w:ascii="仿宋" w:hAnsi="仿宋" w:eastAsia="仿宋" w:cs="Meiryo UI"/>
          <w:sz w:val="28"/>
          <w:szCs w:val="28"/>
        </w:rPr>
        <w:t>”高</w:t>
      </w:r>
      <w:r>
        <w:rPr>
          <w:rFonts w:hint="eastAsia" w:ascii="仿宋" w:hAnsi="仿宋" w:eastAsia="仿宋" w:cs="宋体"/>
          <w:sz w:val="28"/>
          <w:szCs w:val="28"/>
        </w:rPr>
        <w:t>产竞赛</w:t>
      </w:r>
      <w:r>
        <w:rPr>
          <w:rFonts w:ascii="仿宋" w:hAnsi="仿宋" w:eastAsia="仿宋" w:cs="Meiryo UI"/>
          <w:sz w:val="28"/>
          <w:szCs w:val="28"/>
        </w:rPr>
        <w:t>“丘陵薄地薯干</w:t>
      </w:r>
      <w:r>
        <w:rPr>
          <w:rFonts w:hint="eastAsia" w:ascii="仿宋" w:hAnsi="仿宋" w:eastAsia="仿宋" w:cs="宋体"/>
          <w:sz w:val="28"/>
          <w:szCs w:val="28"/>
        </w:rPr>
        <w:t>产</w:t>
      </w:r>
      <w:r>
        <w:rPr>
          <w:rFonts w:hint="eastAsia" w:ascii="仿宋" w:hAnsi="仿宋" w:eastAsia="仿宋" w:cs="Meiryo UI"/>
          <w:sz w:val="28"/>
          <w:szCs w:val="28"/>
        </w:rPr>
        <w:t>量倍增技</w:t>
      </w:r>
      <w:r>
        <w:rPr>
          <w:rFonts w:hint="eastAsia" w:ascii="仿宋" w:hAnsi="仿宋" w:eastAsia="仿宋" w:cs="宋体"/>
          <w:sz w:val="28"/>
          <w:szCs w:val="28"/>
        </w:rPr>
        <w:t>术组</w:t>
      </w:r>
      <w:r>
        <w:rPr>
          <w:rFonts w:ascii="仿宋" w:hAnsi="仿宋" w:eastAsia="仿宋" w:cs="Meiryo UI"/>
          <w:sz w:val="28"/>
          <w:szCs w:val="28"/>
        </w:rPr>
        <w:t>”一等</w:t>
      </w:r>
      <w:r>
        <w:rPr>
          <w:rFonts w:hint="eastAsia" w:ascii="仿宋" w:hAnsi="仿宋" w:eastAsia="仿宋" w:cs="宋体"/>
          <w:sz w:val="28"/>
          <w:szCs w:val="28"/>
        </w:rPr>
        <w:t>奖</w:t>
      </w:r>
      <w:r>
        <w:rPr>
          <w:rFonts w:ascii="仿宋" w:hAnsi="仿宋" w:eastAsia="仿宋" w:cs="Meiryo UI"/>
          <w:sz w:val="28"/>
          <w:szCs w:val="28"/>
        </w:rPr>
        <w:t>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643" w:firstLineChars="20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黑体" w:hAnsi="黑体" w:eastAsia="黑体" w:cs="Times New Roman"/>
          <w:b/>
          <w:bCs/>
          <w:color w:val="000000"/>
          <w:sz w:val="32"/>
          <w:szCs w:val="32"/>
        </w:rPr>
        <w:t>二、技术要点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643" w:firstLineChars="200"/>
        <w:jc w:val="left"/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（一）品种选择及壮苗培育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2" w:firstLineChars="200"/>
        <w:rPr>
          <w:rFonts w:ascii="仿宋_GB2312" w:hAnsi="仿宋_GB2312" w:eastAsia="仿宋_GB2312" w:cs="仿宋_GB2312"/>
          <w:b/>
          <w:sz w:val="28"/>
          <w:szCs w:val="28"/>
        </w:rPr>
      </w:pPr>
      <w:r>
        <w:rPr>
          <w:rFonts w:ascii="仿宋_GB2312" w:hAnsi="仿宋_GB2312" w:eastAsia="仿宋_GB2312" w:cs="仿宋_GB2312"/>
          <w:b/>
          <w:sz w:val="28"/>
          <w:szCs w:val="28"/>
        </w:rPr>
        <w:t>1、选用宜机化甘薯品种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选择结薯浅的短纺锤形甘薯品种。高淀粉甘薯品种可以选择黔薯1号、黔薯6号、黔薯11号等；鲜食甘薯品种可以选择黔薯3号、黔薯9号、黔薯10号等。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2" w:firstLineChars="200"/>
        <w:rPr>
          <w:rFonts w:ascii="仿宋_GB2312" w:hAnsi="仿宋_GB2312" w:eastAsia="仿宋_GB2312" w:cs="仿宋_GB2312"/>
          <w:b/>
          <w:sz w:val="28"/>
          <w:szCs w:val="28"/>
        </w:rPr>
      </w:pPr>
      <w:r>
        <w:rPr>
          <w:rFonts w:ascii="仿宋_GB2312" w:hAnsi="仿宋_GB2312" w:eastAsia="仿宋_GB2312" w:cs="仿宋_GB2312"/>
          <w:b/>
          <w:sz w:val="28"/>
          <w:szCs w:val="28"/>
        </w:rPr>
        <w:t>2、壮苗培育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利用设施大棚或者露地进行种苗繁育，选择无病虫害的健康薯块作种薯，开厢，厢面宽1.0m左右，在厢面开沟，沟深25cm，密排种薯，盖土，浇透水，覆盖地膜，并加盖小拱棚。根据出苗情况天气温度，及时揭盖地膜或拱棚，防止烧苗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643" w:firstLineChars="200"/>
        <w:jc w:val="left"/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（二）整地与起垄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2" w:firstLineChars="200"/>
        <w:rPr>
          <w:rFonts w:ascii="仿宋_GB2312" w:hAnsi="仿宋_GB2312" w:eastAsia="仿宋_GB2312" w:cs="仿宋_GB2312"/>
          <w:b/>
          <w:sz w:val="28"/>
          <w:szCs w:val="28"/>
        </w:rPr>
      </w:pPr>
      <w:r>
        <w:rPr>
          <w:rFonts w:ascii="仿宋_GB2312" w:hAnsi="仿宋_GB2312" w:eastAsia="仿宋_GB2312" w:cs="仿宋_GB2312"/>
          <w:b/>
          <w:sz w:val="28"/>
          <w:szCs w:val="28"/>
        </w:rPr>
        <w:t>1、耕整地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选择前茬</w:t>
      </w:r>
      <w:r>
        <w:rPr>
          <w:rFonts w:hint="eastAsia" w:ascii="仿宋_GB2312" w:hAnsi="仿宋_GB2312" w:eastAsia="仿宋_GB2312" w:cs="仿宋_GB2312"/>
          <w:sz w:val="28"/>
          <w:szCs w:val="28"/>
        </w:rPr>
        <w:t>为</w:t>
      </w:r>
      <w:r>
        <w:rPr>
          <w:rFonts w:ascii="仿宋_GB2312" w:hAnsi="仿宋_GB2312" w:eastAsia="仿宋_GB2312" w:cs="仿宋_GB2312"/>
          <w:sz w:val="28"/>
          <w:szCs w:val="28"/>
        </w:rPr>
        <w:t>非薯蓣类作物的地块为宜。深翻、旋耕作业。耕翻深度一般在25～35cm左右。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2" w:firstLineChars="200"/>
        <w:rPr>
          <w:rFonts w:ascii="仿宋_GB2312" w:hAnsi="仿宋_GB2312" w:eastAsia="仿宋_GB2312" w:cs="仿宋_GB2312"/>
          <w:b/>
          <w:sz w:val="28"/>
          <w:szCs w:val="28"/>
        </w:rPr>
      </w:pPr>
      <w:r>
        <w:rPr>
          <w:rFonts w:ascii="仿宋_GB2312" w:hAnsi="仿宋_GB2312" w:eastAsia="仿宋_GB2312" w:cs="仿宋_GB2312"/>
          <w:b/>
          <w:sz w:val="28"/>
          <w:szCs w:val="28"/>
        </w:rPr>
        <w:t>2、平衡施肥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结合耕翻将肥料一次性施入，施肥后耕翻起垄；有条件的地区可以用施肥起垄一体机，在起垄时将甘薯专用肥施入垄的中下部。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作垄前施足基肥。一般每亩施优质有机肥200公斤，氮磷钾复合肥（15:15:15）15公斤，硫酸钾15公斤混合撒匀后深耕25cm。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在对紫云县各乡镇甘薯产区土样分析的基础上，根据田间肥料试验结果，建立了土壤养分的丰缺指标及相应的氮磷钾肥料推荐量（表1）。甘薯施用氮磷钾肥的平均增产率分别为20.5%、15.5%和16.0%，每施用1kg氮（N）、磷（P2O5）和钾（K2O）可分别增产鲜薯46.7kg、69.0kg和24.1kg。每形成1000kg鲜薯氮磷钾吸收量分别平均为3.36kgN、1.51kgP2O5和4.98kgK2O，比例为1:0.48:1.48。</w:t>
      </w:r>
    </w:p>
    <w:p>
      <w:pPr>
        <w:tabs>
          <w:tab w:val="left" w:pos="1720"/>
        </w:tabs>
        <w:adjustRightInd w:val="0"/>
        <w:snapToGrid w:val="0"/>
        <w:jc w:val="center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表1</w:t>
      </w:r>
      <w:r>
        <w:rPr>
          <w:rFonts w:hint="eastAsia" w:ascii="仿宋_GB2312" w:hAnsi="仿宋_GB2312" w:eastAsia="仿宋_GB2312" w:cs="仿宋_GB2312"/>
          <w:sz w:val="28"/>
          <w:szCs w:val="28"/>
        </w:rPr>
        <w:t xml:space="preserve">  </w:t>
      </w:r>
      <w:r>
        <w:rPr>
          <w:rFonts w:ascii="仿宋_GB2312" w:hAnsi="仿宋_GB2312" w:eastAsia="仿宋_GB2312" w:cs="仿宋_GB2312"/>
          <w:sz w:val="28"/>
          <w:szCs w:val="28"/>
        </w:rPr>
        <w:t>土壤养分含量与推荐施肥量</w:t>
      </w:r>
    </w:p>
    <w:tbl>
      <w:tblPr>
        <w:tblStyle w:val="5"/>
        <w:tblW w:w="5427" w:type="pct"/>
        <w:jc w:val="center"/>
        <w:tblBorders>
          <w:top w:val="single" w:color="auto" w:sz="4" w:space="0"/>
          <w:left w:val="none" w:color="auto" w:sz="0" w:space="0"/>
          <w:bottom w:val="single" w:color="auto" w:sz="4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00"/>
        <w:gridCol w:w="1681"/>
        <w:gridCol w:w="1401"/>
        <w:gridCol w:w="1896"/>
        <w:gridCol w:w="1296"/>
        <w:gridCol w:w="1776"/>
      </w:tblGrid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  <w:jc w:val="center"/>
        </w:trPr>
        <w:tc>
          <w:tcPr>
            <w:tcW w:w="1600" w:type="pct"/>
            <w:gridSpan w:val="2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氮</w:t>
            </w:r>
          </w:p>
        </w:tc>
        <w:tc>
          <w:tcPr>
            <w:tcW w:w="1739" w:type="pct"/>
            <w:gridSpan w:val="2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磷</w:t>
            </w:r>
          </w:p>
        </w:tc>
        <w:tc>
          <w:tcPr>
            <w:tcW w:w="1661" w:type="pct"/>
            <w:gridSpan w:val="2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钾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7" w:hRule="atLeast"/>
          <w:jc w:val="center"/>
        </w:trPr>
        <w:tc>
          <w:tcPr>
            <w:tcW w:w="670" w:type="pct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土壤含量(mg/kg)</w:t>
            </w:r>
          </w:p>
        </w:tc>
        <w:tc>
          <w:tcPr>
            <w:tcW w:w="930" w:type="pct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推荐用量</w:t>
            </w:r>
          </w:p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(kgN/667m2)</w:t>
            </w:r>
          </w:p>
        </w:tc>
        <w:tc>
          <w:tcPr>
            <w:tcW w:w="779" w:type="pct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土壤含量(mg/kg)</w:t>
            </w:r>
          </w:p>
        </w:tc>
        <w:tc>
          <w:tcPr>
            <w:tcW w:w="960" w:type="pct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推荐用量</w:t>
            </w:r>
          </w:p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(kgP2O5/667m2)</w:t>
            </w:r>
          </w:p>
        </w:tc>
        <w:tc>
          <w:tcPr>
            <w:tcW w:w="722" w:type="pct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土壤含量(mg/kg)</w:t>
            </w:r>
          </w:p>
        </w:tc>
        <w:tc>
          <w:tcPr>
            <w:tcW w:w="938" w:type="pct"/>
            <w:tcBorders>
              <w:top w:val="single" w:color="auto" w:sz="4" w:space="0"/>
              <w:bottom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推荐用量</w:t>
            </w:r>
          </w:p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(kgK2O/667m2)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" w:hRule="atLeast"/>
          <w:jc w:val="center"/>
        </w:trPr>
        <w:tc>
          <w:tcPr>
            <w:tcW w:w="670" w:type="pct"/>
            <w:tcBorders>
              <w:top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&lt;55</w:t>
            </w:r>
          </w:p>
        </w:tc>
        <w:tc>
          <w:tcPr>
            <w:tcW w:w="930" w:type="pct"/>
            <w:tcBorders>
              <w:top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8～10</w:t>
            </w:r>
          </w:p>
        </w:tc>
        <w:tc>
          <w:tcPr>
            <w:tcW w:w="779" w:type="pct"/>
            <w:tcBorders>
              <w:top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&lt;2.0</w:t>
            </w:r>
          </w:p>
        </w:tc>
        <w:tc>
          <w:tcPr>
            <w:tcW w:w="960" w:type="pct"/>
            <w:tcBorders>
              <w:top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6～9</w:t>
            </w:r>
          </w:p>
        </w:tc>
        <w:tc>
          <w:tcPr>
            <w:tcW w:w="722" w:type="pct"/>
            <w:tcBorders>
              <w:top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&lt;44</w:t>
            </w:r>
          </w:p>
        </w:tc>
        <w:tc>
          <w:tcPr>
            <w:tcW w:w="938" w:type="pct"/>
            <w:tcBorders>
              <w:top w:val="single" w:color="auto" w:sz="4" w:space="0"/>
            </w:tcBorders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10～15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7" w:hRule="atLeast"/>
          <w:jc w:val="center"/>
        </w:trPr>
        <w:tc>
          <w:tcPr>
            <w:tcW w:w="670" w:type="pct"/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55-118</w:t>
            </w:r>
          </w:p>
        </w:tc>
        <w:tc>
          <w:tcPr>
            <w:tcW w:w="930" w:type="pct"/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5～9</w:t>
            </w:r>
          </w:p>
        </w:tc>
        <w:tc>
          <w:tcPr>
            <w:tcW w:w="779" w:type="pct"/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2.0～23.6</w:t>
            </w:r>
          </w:p>
        </w:tc>
        <w:tc>
          <w:tcPr>
            <w:tcW w:w="960" w:type="pct"/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3～6</w:t>
            </w:r>
          </w:p>
        </w:tc>
        <w:tc>
          <w:tcPr>
            <w:tcW w:w="722" w:type="pct"/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44～131</w:t>
            </w:r>
          </w:p>
        </w:tc>
        <w:tc>
          <w:tcPr>
            <w:tcW w:w="938" w:type="pct"/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8～12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" w:hRule="atLeast"/>
          <w:jc w:val="center"/>
        </w:trPr>
        <w:tc>
          <w:tcPr>
            <w:tcW w:w="670" w:type="pct"/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&gt;118</w:t>
            </w:r>
          </w:p>
        </w:tc>
        <w:tc>
          <w:tcPr>
            <w:tcW w:w="930" w:type="pct"/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3～6</w:t>
            </w:r>
          </w:p>
        </w:tc>
        <w:tc>
          <w:tcPr>
            <w:tcW w:w="779" w:type="pct"/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&gt;23.6</w:t>
            </w:r>
          </w:p>
        </w:tc>
        <w:tc>
          <w:tcPr>
            <w:tcW w:w="960" w:type="pct"/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0～3</w:t>
            </w:r>
          </w:p>
        </w:tc>
        <w:tc>
          <w:tcPr>
            <w:tcW w:w="722" w:type="pct"/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&gt;131</w:t>
            </w:r>
          </w:p>
        </w:tc>
        <w:tc>
          <w:tcPr>
            <w:tcW w:w="938" w:type="pct"/>
            <w:vAlign w:val="center"/>
          </w:tcPr>
          <w:p>
            <w:pPr>
              <w:tabs>
                <w:tab w:val="left" w:pos="1720"/>
              </w:tabs>
              <w:adjustRightInd w:val="0"/>
              <w:snapToGrid w:val="0"/>
              <w:jc w:val="center"/>
              <w:rPr>
                <w:rFonts w:ascii="仿宋_GB2312" w:hAnsi="仿宋_GB2312" w:eastAsia="仿宋_GB2312" w:cs="仿宋_GB2312"/>
                <w:sz w:val="24"/>
                <w:szCs w:val="28"/>
              </w:rPr>
            </w:pPr>
            <w:r>
              <w:rPr>
                <w:rFonts w:ascii="仿宋_GB2312" w:hAnsi="仿宋_GB2312" w:eastAsia="仿宋_GB2312" w:cs="仿宋_GB2312"/>
                <w:sz w:val="24"/>
                <w:szCs w:val="28"/>
              </w:rPr>
              <w:t>5～8</w:t>
            </w:r>
          </w:p>
        </w:tc>
      </w:tr>
    </w:tbl>
    <w:p>
      <w:pPr>
        <w:tabs>
          <w:tab w:val="left" w:pos="1720"/>
        </w:tabs>
        <w:adjustRightInd w:val="0"/>
        <w:snapToGrid w:val="0"/>
        <w:spacing w:line="360" w:lineRule="auto"/>
        <w:ind w:firstLine="562" w:firstLineChars="200"/>
        <w:rPr>
          <w:rFonts w:ascii="仿宋_GB2312" w:hAnsi="仿宋_GB2312" w:eastAsia="仿宋_GB2312" w:cs="仿宋_GB2312"/>
          <w:b/>
          <w:sz w:val="28"/>
          <w:szCs w:val="28"/>
        </w:rPr>
      </w:pPr>
      <w:r>
        <w:rPr>
          <w:rFonts w:ascii="仿宋_GB2312" w:hAnsi="仿宋_GB2312" w:eastAsia="仿宋_GB2312" w:cs="仿宋_GB2312"/>
          <w:b/>
          <w:sz w:val="28"/>
          <w:szCs w:val="28"/>
        </w:rPr>
        <w:t>3、起垄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选择适宜的起垄机、旋耕起垄机等机型。要求垄形规范、垄高一致，推荐采用90cm垄距。根据当地农艺要求，如需覆膜，可选择带有覆膜功能的起垄机械。使用机械起垄，一般垄距90cm左右，垄高25～30㎝，垄直，面平，土松，垄心耕透无漏耕，垄截面呈半椭圆形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2" w:firstLineChars="200"/>
        <w:rPr>
          <w:rFonts w:ascii="仿宋_GB2312" w:hAnsi="仿宋_GB2312" w:eastAsia="仿宋_GB2312" w:cs="仿宋_GB2312"/>
          <w:b/>
          <w:sz w:val="28"/>
          <w:szCs w:val="28"/>
        </w:rPr>
      </w:pPr>
      <w:r>
        <w:rPr>
          <w:rFonts w:ascii="仿宋_GB2312" w:hAnsi="仿宋_GB2312" w:eastAsia="仿宋_GB2312" w:cs="仿宋_GB2312"/>
          <w:b/>
          <w:sz w:val="28"/>
          <w:szCs w:val="28"/>
        </w:rPr>
        <w:t>4、黑膜覆盖技术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覆盖黑色地膜，黑膜应符合《GB13735-2017》。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利用一小型拖拉机进行覆盖黑色地膜，地膜应拉紧，留出沟底，以利雨水下渗。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643" w:firstLineChars="200"/>
        <w:jc w:val="left"/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（三）移栽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选择适宜的单垄单行移栽机，链夹式、带夹式、钳夹式移栽机皆可；若为覆膜种植，则需要选择可膜上移栽的甘薯移栽机，如钳夹式甘薯移栽机。一般机械栽插的深度应在6cm～10cm，漏栽苗需人工补栽。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若人工移栽，可以使用甘薯平栽移栽器，膜上洞口破坏小，后期封土少，防草更好。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643" w:firstLineChars="200"/>
        <w:jc w:val="left"/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（四）</w:t>
      </w:r>
      <w:r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田间管理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2" w:firstLineChars="200"/>
        <w:rPr>
          <w:rFonts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sz w:val="28"/>
          <w:szCs w:val="28"/>
        </w:rPr>
        <w:t>1、</w:t>
      </w:r>
      <w:r>
        <w:rPr>
          <w:rFonts w:ascii="仿宋_GB2312" w:hAnsi="仿宋_GB2312" w:eastAsia="仿宋_GB2312" w:cs="仿宋_GB2312"/>
          <w:b/>
          <w:sz w:val="28"/>
          <w:szCs w:val="28"/>
        </w:rPr>
        <w:t>及时补苗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栽后3-7d，及时进行田间查看，发现死苗或者缺窝，及时补苗。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2" w:firstLineChars="200"/>
        <w:rPr>
          <w:rFonts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sz w:val="28"/>
          <w:szCs w:val="28"/>
        </w:rPr>
        <w:t>2、</w:t>
      </w:r>
      <w:r>
        <w:rPr>
          <w:rFonts w:ascii="仿宋_GB2312" w:hAnsi="仿宋_GB2312" w:eastAsia="仿宋_GB2312" w:cs="仿宋_GB2312"/>
          <w:b/>
          <w:sz w:val="28"/>
          <w:szCs w:val="28"/>
        </w:rPr>
        <w:t>中耕除草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覆盖黑膜，可以减少很多杂草，但是垄间还会有少量杂草，在栽后30d封垄前进行除草。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2" w:firstLineChars="200"/>
        <w:rPr>
          <w:rFonts w:ascii="仿宋_GB2312" w:hAnsi="仿宋_GB2312" w:eastAsia="仿宋_GB2312" w:cs="仿宋_GB2312"/>
          <w:b/>
          <w:sz w:val="28"/>
          <w:szCs w:val="28"/>
        </w:rPr>
      </w:pPr>
      <w:bookmarkStart w:id="0" w:name="_Toc458085551"/>
      <w:r>
        <w:rPr>
          <w:rFonts w:hint="eastAsia" w:ascii="仿宋_GB2312" w:hAnsi="仿宋_GB2312" w:eastAsia="仿宋_GB2312" w:cs="仿宋_GB2312"/>
          <w:b/>
          <w:sz w:val="28"/>
          <w:szCs w:val="28"/>
        </w:rPr>
        <w:t>3、</w:t>
      </w:r>
      <w:r>
        <w:rPr>
          <w:rFonts w:ascii="仿宋_GB2312" w:hAnsi="仿宋_GB2312" w:eastAsia="仿宋_GB2312" w:cs="仿宋_GB2312"/>
          <w:b/>
          <w:sz w:val="28"/>
          <w:szCs w:val="28"/>
        </w:rPr>
        <w:t>合理促</w:t>
      </w:r>
      <w:bookmarkEnd w:id="0"/>
      <w:r>
        <w:rPr>
          <w:rFonts w:ascii="仿宋_GB2312" w:hAnsi="仿宋_GB2312" w:eastAsia="仿宋_GB2312" w:cs="仿宋_GB2312"/>
          <w:b/>
          <w:sz w:val="28"/>
          <w:szCs w:val="28"/>
        </w:rPr>
        <w:t>控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苗期促生根：采用用400～600倍的ABT生根粉5号药液浸薯苗3～5min，薯苗基部2个节完全没入药液，浸苗时间不宜过长或过短，结合浇窝水量100～300ml，促薯苗早发根。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中期控旺长：采用烯效唑叶面喷施控制旺长，于栽插后30～60d时用烯效唑有效成分2.4～3.3g/666.7m2兑水30kg（80～110ppm）均匀喷施，每隔10d喷施一次，连喷2次。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后期缓衰老：采用已酸二乙氨基乙醇酯（DA-6）延缓叶片衰老，延长光合功能期，于收获前30d用DA-6有效成分0.240.45g/666.7m2兑水30kg（8～15ppm），每隔3d喷施一次，连喷2次。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2" w:firstLineChars="200"/>
        <w:rPr>
          <w:rFonts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sz w:val="28"/>
          <w:szCs w:val="28"/>
        </w:rPr>
        <w:t>4、</w:t>
      </w:r>
      <w:r>
        <w:rPr>
          <w:rFonts w:ascii="仿宋_GB2312" w:hAnsi="仿宋_GB2312" w:eastAsia="仿宋_GB2312" w:cs="仿宋_GB2312"/>
          <w:b/>
          <w:sz w:val="28"/>
          <w:szCs w:val="28"/>
        </w:rPr>
        <w:t>病虫害绿色防控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（1）</w:t>
      </w:r>
      <w:r>
        <w:rPr>
          <w:rFonts w:ascii="仿宋_GB2312" w:hAnsi="仿宋_GB2312" w:eastAsia="仿宋_GB2312" w:cs="仿宋_GB2312"/>
          <w:sz w:val="28"/>
          <w:szCs w:val="28"/>
        </w:rPr>
        <w:t>农业防控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选用抗病品种，与非薯蓣类作物轮作，连作不能超过3年。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轮作换茬，清洁田园：甘薯病虫害发生严重的地块，要实行3年以上的轮作换茬。甘薯生长过程中、收获后以及贮藏期，要认真清除田间地头杂草，还要清除病残株并进行集中处理。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翻耕薯地，减少虫源：冬、春季多耕耙甘薯地块，破坏其越冬环境，杀死越冬蛹，减少虫源</w:t>
      </w:r>
      <w:r>
        <w:rPr>
          <w:rFonts w:hint="eastAsia" w:ascii="仿宋_GB2312" w:hAnsi="仿宋_GB2312" w:eastAsia="仿宋_GB2312" w:cs="仿宋_GB2312"/>
          <w:sz w:val="28"/>
          <w:szCs w:val="28"/>
        </w:rPr>
        <w:t>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（2）</w:t>
      </w:r>
      <w:r>
        <w:rPr>
          <w:rFonts w:ascii="仿宋_GB2312" w:hAnsi="仿宋_GB2312" w:eastAsia="仿宋_GB2312" w:cs="仿宋_GB2312"/>
          <w:sz w:val="28"/>
          <w:szCs w:val="28"/>
        </w:rPr>
        <w:t>物理防治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一是虫害的防治</w:t>
      </w:r>
      <w:r>
        <w:rPr>
          <w:rFonts w:hint="eastAsia" w:ascii="仿宋_GB2312" w:hAnsi="仿宋_GB2312" w:eastAsia="仿宋_GB2312" w:cs="仿宋_GB2312"/>
          <w:sz w:val="28"/>
          <w:szCs w:val="28"/>
        </w:rPr>
        <w:t>：</w:t>
      </w:r>
      <w:r>
        <w:rPr>
          <w:rFonts w:ascii="仿宋_GB2312" w:hAnsi="仿宋_GB2312" w:eastAsia="仿宋_GB2312" w:cs="仿宋_GB2312"/>
          <w:sz w:val="28"/>
          <w:szCs w:val="28"/>
        </w:rPr>
        <w:t>可利用害虫的趋光性、趋化性进行诱杀或人工捕杀。如利用黑光灯或糖醋液诱杀金龟子等成虫；利用杨柳枝把诱杀甜菜夜蛾成虫；利用泡桐叶诱集地老虎幼虫，然后集中捕杀；人工捕杀甘薯天蛾幼虫，耕翻时捡拾虫蛹等；利用性信息素诱杀甘薯麦蛾成虫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二是病害的防治</w:t>
      </w:r>
      <w:r>
        <w:rPr>
          <w:rFonts w:hint="eastAsia" w:ascii="仿宋_GB2312" w:hAnsi="仿宋_GB2312" w:eastAsia="仿宋_GB2312" w:cs="仿宋_GB2312"/>
          <w:sz w:val="28"/>
          <w:szCs w:val="28"/>
        </w:rPr>
        <w:t>：</w:t>
      </w:r>
      <w:r>
        <w:rPr>
          <w:rFonts w:ascii="仿宋_GB2312" w:hAnsi="仿宋_GB2312" w:eastAsia="仿宋_GB2312" w:cs="仿宋_GB2312"/>
          <w:sz w:val="28"/>
          <w:szCs w:val="28"/>
        </w:rPr>
        <w:t>利用距离苗床3cm的高剪苗，可防治甘薯黑斑病等；防止甘薯在贮藏期发生涝渍或冻害，可减轻软腐病的发生程度。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（3）</w:t>
      </w:r>
      <w:r>
        <w:rPr>
          <w:rFonts w:ascii="仿宋_GB2312" w:hAnsi="仿宋_GB2312" w:eastAsia="仿宋_GB2312" w:cs="仿宋_GB2312"/>
          <w:sz w:val="28"/>
          <w:szCs w:val="28"/>
        </w:rPr>
        <w:t>生物防治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主要是利用生物技术、保护和利用自然天敌生物以及生物农药防治病虫，如利用甘薯茎尖脱毒方式进行组织培养繁育种薯或薯苗，以防治病毒病并获得高产。几种常见病虫的生物药剂防治方法如下。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地下害虫</w:t>
      </w:r>
      <w:r>
        <w:rPr>
          <w:rFonts w:hint="eastAsia" w:ascii="仿宋_GB2312" w:hAnsi="仿宋_GB2312" w:eastAsia="仿宋_GB2312" w:cs="仿宋_GB2312"/>
          <w:sz w:val="28"/>
          <w:szCs w:val="28"/>
        </w:rPr>
        <w:t>：</w:t>
      </w:r>
      <w:r>
        <w:rPr>
          <w:rFonts w:ascii="仿宋_GB2312" w:hAnsi="仿宋_GB2312" w:eastAsia="仿宋_GB2312" w:cs="仿宋_GB2312"/>
          <w:sz w:val="28"/>
          <w:szCs w:val="28"/>
        </w:rPr>
        <w:t>防治金针虫、地老虎、蛴螬等地下害虫时，可以选用150亿个孢子/g球孢白僵菌可湿性粉剂3750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-</w:t>
      </w:r>
      <w:r>
        <w:rPr>
          <w:rFonts w:ascii="仿宋_GB2312" w:hAnsi="仿宋_GB2312" w:eastAsia="仿宋_GB2312" w:cs="仿宋_GB2312"/>
          <w:sz w:val="28"/>
          <w:szCs w:val="28"/>
        </w:rPr>
        <w:t>4500g/hm2拌毒土撒施，也可用0.5%苦参碱水剂300～500倍液灌根。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蚜虫、红蜘蛛</w:t>
      </w:r>
      <w:r>
        <w:rPr>
          <w:rFonts w:hint="eastAsia" w:ascii="仿宋_GB2312" w:hAnsi="仿宋_GB2312" w:eastAsia="仿宋_GB2312" w:cs="仿宋_GB2312"/>
          <w:sz w:val="28"/>
          <w:szCs w:val="28"/>
        </w:rPr>
        <w:t>：</w:t>
      </w:r>
      <w:r>
        <w:rPr>
          <w:rFonts w:ascii="仿宋_GB2312" w:hAnsi="仿宋_GB2312" w:eastAsia="仿宋_GB2312" w:cs="仿宋_GB2312"/>
          <w:sz w:val="28"/>
          <w:szCs w:val="28"/>
        </w:rPr>
        <w:t>防治蚜虫时，可用0.5%苦参碱水剂1000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-</w:t>
      </w:r>
      <w:r>
        <w:rPr>
          <w:rFonts w:ascii="仿宋_GB2312" w:hAnsi="仿宋_GB2312" w:eastAsia="仿宋_GB2312" w:cs="仿宋_GB2312"/>
          <w:sz w:val="28"/>
          <w:szCs w:val="28"/>
        </w:rPr>
        <w:t>1500倍液喷防，还可兼治其他害虫和病害；防治红蜘蛛时，可用1.8%阿维菌素乳油2000～3000倍液喷防，也可兼治其他害虫。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甘薯天蛾、斜纹夜蛾、甘薯麦蛾</w:t>
      </w:r>
      <w:r>
        <w:rPr>
          <w:rFonts w:hint="eastAsia" w:ascii="仿宋_GB2312" w:hAnsi="仿宋_GB2312" w:eastAsia="仿宋_GB2312" w:cs="仿宋_GB2312"/>
          <w:sz w:val="28"/>
          <w:szCs w:val="28"/>
        </w:rPr>
        <w:t>：</w:t>
      </w:r>
      <w:r>
        <w:rPr>
          <w:rFonts w:ascii="仿宋_GB2312" w:hAnsi="仿宋_GB2312" w:eastAsia="仿宋_GB2312" w:cs="仿宋_GB2312"/>
          <w:sz w:val="28"/>
          <w:szCs w:val="28"/>
        </w:rPr>
        <w:t>可以选用16000IU/mg苏云金杆菌可湿性粉剂1500</w:t>
      </w:r>
      <w:r>
        <w:rPr>
          <w:rFonts w:hint="eastAsia" w:ascii="仿宋_GB2312" w:hAnsi="仿宋_GB2312" w:eastAsia="仿宋_GB2312" w:cs="仿宋_GB2312"/>
          <w:sz w:val="28"/>
          <w:szCs w:val="28"/>
        </w:rPr>
        <w:t>～</w:t>
      </w:r>
      <w:r>
        <w:rPr>
          <w:rFonts w:ascii="仿宋_GB2312" w:hAnsi="仿宋_GB2312" w:eastAsia="仿宋_GB2312" w:cs="仿宋_GB2312"/>
          <w:sz w:val="28"/>
          <w:szCs w:val="28"/>
        </w:rPr>
        <w:t>2250g/hm2，或10亿PIB/g斜纹夜蛾核型多角体病毒可湿性粉剂750</w:t>
      </w:r>
      <w:r>
        <w:rPr>
          <w:rFonts w:hint="eastAsia" w:ascii="仿宋_GB2312" w:hAnsi="仿宋_GB2312" w:eastAsia="仿宋_GB2312" w:cs="仿宋_GB2312"/>
          <w:sz w:val="28"/>
          <w:szCs w:val="28"/>
        </w:rPr>
        <w:t>～</w:t>
      </w:r>
      <w:r>
        <w:rPr>
          <w:rFonts w:ascii="仿宋_GB2312" w:hAnsi="仿宋_GB2312" w:eastAsia="仿宋_GB2312" w:cs="仿宋_GB2312"/>
          <w:sz w:val="28"/>
          <w:szCs w:val="28"/>
        </w:rPr>
        <w:t>900g/hm2喷防，或用25%灭幼脲悬浮剂1000倍液喷防。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甘薯茎线虫病</w:t>
      </w:r>
      <w:r>
        <w:rPr>
          <w:rFonts w:hint="eastAsia" w:ascii="仿宋_GB2312" w:hAnsi="仿宋_GB2312" w:eastAsia="仿宋_GB2312" w:cs="仿宋_GB2312"/>
          <w:sz w:val="28"/>
          <w:szCs w:val="28"/>
        </w:rPr>
        <w:t>：</w:t>
      </w:r>
      <w:r>
        <w:rPr>
          <w:rFonts w:ascii="仿宋_GB2312" w:hAnsi="仿宋_GB2312" w:eastAsia="仿宋_GB2312" w:cs="仿宋_GB2312"/>
          <w:sz w:val="28"/>
          <w:szCs w:val="28"/>
        </w:rPr>
        <w:t>可以用1.8%阿维菌素乳油3000～5000倍液灌根防治，药液用量为40</w:t>
      </w:r>
      <w:r>
        <w:rPr>
          <w:rFonts w:hint="eastAsia" w:ascii="仿宋_GB2312" w:hAnsi="仿宋_GB2312" w:eastAsia="仿宋_GB2312" w:cs="仿宋_GB2312"/>
          <w:sz w:val="28"/>
          <w:szCs w:val="28"/>
        </w:rPr>
        <w:t>～</w:t>
      </w:r>
      <w:r>
        <w:rPr>
          <w:rFonts w:ascii="仿宋_GB2312" w:hAnsi="仿宋_GB2312" w:eastAsia="仿宋_GB2312" w:cs="仿宋_GB2312"/>
          <w:sz w:val="28"/>
          <w:szCs w:val="28"/>
        </w:rPr>
        <w:t>50mL/株。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（4）</w:t>
      </w:r>
      <w:r>
        <w:rPr>
          <w:rFonts w:ascii="仿宋_GB2312" w:hAnsi="仿宋_GB2312" w:eastAsia="仿宋_GB2312" w:cs="仿宋_GB2312"/>
          <w:sz w:val="28"/>
          <w:szCs w:val="28"/>
        </w:rPr>
        <w:t>化学防治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使用化学农药时，应严格按照NY／T393</w:t>
      </w:r>
      <w:r>
        <w:rPr>
          <w:rFonts w:hint="eastAsia" w:ascii="仿宋_GB2312" w:hAnsi="仿宋_GB2312" w:eastAsia="仿宋_GB2312" w:cs="仿宋_GB2312"/>
          <w:sz w:val="28"/>
          <w:szCs w:val="28"/>
        </w:rPr>
        <w:t>-</w:t>
      </w:r>
      <w:r>
        <w:rPr>
          <w:rFonts w:ascii="仿宋_GB2312" w:hAnsi="仿宋_GB2312" w:eastAsia="仿宋_GB2312" w:cs="仿宋_GB2312"/>
          <w:sz w:val="28"/>
          <w:szCs w:val="28"/>
        </w:rPr>
        <w:t>2000的规定执行。不准使用禁用农药，严格控制农药使用浓度及安全间隔期。有选择性地选用高效、低风险、低残留的化学农药．尽可能减少化学农药使用次数及使用量，注意交替用药，合理混用。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地下害虫</w:t>
      </w:r>
      <w:r>
        <w:rPr>
          <w:rFonts w:hint="eastAsia" w:ascii="仿宋_GB2312" w:hAnsi="仿宋_GB2312" w:eastAsia="仿宋_GB2312" w:cs="仿宋_GB2312"/>
          <w:sz w:val="28"/>
          <w:szCs w:val="28"/>
        </w:rPr>
        <w:t>：</w:t>
      </w:r>
      <w:r>
        <w:rPr>
          <w:rFonts w:ascii="仿宋_GB2312" w:hAnsi="仿宋_GB2312" w:eastAsia="仿宋_GB2312" w:cs="仿宋_GB2312"/>
          <w:sz w:val="28"/>
          <w:szCs w:val="28"/>
        </w:rPr>
        <w:t>选用3%辛硫磷颗粒剂60kg/hm2，于起垄栽插时进行土壤处理。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蚜虫</w:t>
      </w:r>
      <w:r>
        <w:rPr>
          <w:rFonts w:hint="eastAsia" w:ascii="仿宋_GB2312" w:hAnsi="仿宋_GB2312" w:eastAsia="仿宋_GB2312" w:cs="仿宋_GB2312"/>
          <w:sz w:val="28"/>
          <w:szCs w:val="28"/>
        </w:rPr>
        <w:t>：</w:t>
      </w:r>
      <w:r>
        <w:rPr>
          <w:rFonts w:ascii="仿宋_GB2312" w:hAnsi="仿宋_GB2312" w:eastAsia="仿宋_GB2312" w:cs="仿宋_GB2312"/>
          <w:sz w:val="28"/>
          <w:szCs w:val="28"/>
        </w:rPr>
        <w:t>可选用高效氯氰菊酯、吡虫啉等喷雾防治，具体用量可参考农药使用说明书，下同。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红蜘蛛</w:t>
      </w:r>
      <w:r>
        <w:rPr>
          <w:rFonts w:hint="eastAsia" w:ascii="仿宋_GB2312" w:hAnsi="仿宋_GB2312" w:eastAsia="仿宋_GB2312" w:cs="仿宋_GB2312"/>
          <w:sz w:val="28"/>
          <w:szCs w:val="28"/>
        </w:rPr>
        <w:t>：</w:t>
      </w:r>
      <w:r>
        <w:rPr>
          <w:rFonts w:ascii="仿宋_GB2312" w:hAnsi="仿宋_GB2312" w:eastAsia="仿宋_GB2312" w:cs="仿宋_GB2312"/>
          <w:sz w:val="28"/>
          <w:szCs w:val="28"/>
        </w:rPr>
        <w:t>可选用哒螨灵防治，注意甘薯叶片背面也要均匀着药。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甘薯天蛾、甘薯麦蛾、斜纹夜蛾、甜菜夜蛾</w:t>
      </w:r>
      <w:r>
        <w:rPr>
          <w:rFonts w:hint="eastAsia" w:ascii="仿宋_GB2312" w:hAnsi="仿宋_GB2312" w:eastAsia="仿宋_GB2312" w:cs="仿宋_GB2312"/>
          <w:sz w:val="28"/>
          <w:szCs w:val="28"/>
        </w:rPr>
        <w:t>：</w:t>
      </w:r>
      <w:r>
        <w:rPr>
          <w:rFonts w:ascii="仿宋_GB2312" w:hAnsi="仿宋_GB2312" w:eastAsia="仿宋_GB2312" w:cs="仿宋_GB2312"/>
          <w:sz w:val="28"/>
          <w:szCs w:val="28"/>
        </w:rPr>
        <w:t>掌握在幼虫3龄以前低龄期用药，选用高效低</w:t>
      </w:r>
      <w:r>
        <w:rPr>
          <w:rFonts w:hint="eastAsia" w:ascii="仿宋_GB2312" w:hAnsi="仿宋_GB2312" w:eastAsia="仿宋_GB2312" w:cs="仿宋_GB2312"/>
          <w:sz w:val="28"/>
          <w:szCs w:val="28"/>
        </w:rPr>
        <w:t>风险</w:t>
      </w:r>
      <w:r>
        <w:rPr>
          <w:rFonts w:ascii="仿宋_GB2312" w:hAnsi="仿宋_GB2312" w:eastAsia="仿宋_GB2312" w:cs="仿宋_GB2312"/>
          <w:sz w:val="28"/>
          <w:szCs w:val="28"/>
        </w:rPr>
        <w:t>农药如高效氯氰菊酯、高效氯氟氰菊酯、氯虫苯甲酰胺等单剂或混配防治。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黑斑病</w:t>
      </w:r>
      <w:r>
        <w:rPr>
          <w:rFonts w:hint="eastAsia" w:ascii="仿宋_GB2312" w:hAnsi="仿宋_GB2312" w:eastAsia="仿宋_GB2312" w:cs="仿宋_GB2312"/>
          <w:sz w:val="28"/>
          <w:szCs w:val="28"/>
        </w:rPr>
        <w:t>：</w:t>
      </w:r>
      <w:r>
        <w:rPr>
          <w:rFonts w:ascii="仿宋_GB2312" w:hAnsi="仿宋_GB2312" w:eastAsia="仿宋_GB2312" w:cs="仿宋_GB2312"/>
          <w:sz w:val="28"/>
          <w:szCs w:val="28"/>
        </w:rPr>
        <w:t>可以选用70%甲基硫菌灵可湿性粉剂1600～2000倍液浸种薯，然后育苗。栽植前将小苗捆成小捆，在70%甲基托布津可湿性粉剂800</w:t>
      </w:r>
      <w:r>
        <w:rPr>
          <w:rFonts w:hint="eastAsia" w:ascii="仿宋_GB2312" w:hAnsi="仿宋_GB2312" w:eastAsia="仿宋_GB2312" w:cs="仿宋_GB2312"/>
          <w:sz w:val="28"/>
          <w:szCs w:val="28"/>
        </w:rPr>
        <w:t>～</w:t>
      </w:r>
      <w:r>
        <w:rPr>
          <w:rFonts w:ascii="仿宋_GB2312" w:hAnsi="仿宋_GB2312" w:eastAsia="仿宋_GB2312" w:cs="仿宋_GB2312"/>
          <w:sz w:val="28"/>
          <w:szCs w:val="28"/>
        </w:rPr>
        <w:t>1000倍液或50%多菌灵可湿性粉剂2500</w:t>
      </w:r>
      <w:r>
        <w:rPr>
          <w:rFonts w:hint="eastAsia" w:ascii="仿宋_GB2312" w:hAnsi="仿宋_GB2312" w:eastAsia="仿宋_GB2312" w:cs="仿宋_GB2312"/>
          <w:sz w:val="28"/>
          <w:szCs w:val="28"/>
        </w:rPr>
        <w:t>～</w:t>
      </w:r>
      <w:r>
        <w:rPr>
          <w:rFonts w:ascii="仿宋_GB2312" w:hAnsi="仿宋_GB2312" w:eastAsia="仿宋_GB2312" w:cs="仿宋_GB2312"/>
          <w:sz w:val="28"/>
          <w:szCs w:val="28"/>
        </w:rPr>
        <w:t>3000倍液中浸秧苗基部，具有消毒防病的作用，浸苗时间分别为5、2</w:t>
      </w:r>
      <w:r>
        <w:rPr>
          <w:rFonts w:hint="eastAsia" w:ascii="仿宋_GB2312" w:hAnsi="仿宋_GB2312" w:eastAsia="仿宋_GB2312" w:cs="仿宋_GB2312"/>
          <w:sz w:val="28"/>
          <w:szCs w:val="28"/>
        </w:rPr>
        <w:t>～</w:t>
      </w:r>
      <w:r>
        <w:rPr>
          <w:rFonts w:ascii="仿宋_GB2312" w:hAnsi="仿宋_GB2312" w:eastAsia="仿宋_GB2312" w:cs="仿宋_GB2312"/>
          <w:sz w:val="28"/>
          <w:szCs w:val="28"/>
        </w:rPr>
        <w:t>3min。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（5）</w:t>
      </w:r>
      <w:r>
        <w:rPr>
          <w:rFonts w:ascii="仿宋_GB2312" w:hAnsi="仿宋_GB2312" w:eastAsia="仿宋_GB2312" w:cs="仿宋_GB2312"/>
          <w:sz w:val="28"/>
          <w:szCs w:val="28"/>
        </w:rPr>
        <w:t>新型高效植保器械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应用</w:t>
      </w:r>
      <w:r>
        <w:rPr>
          <w:rFonts w:ascii="仿宋_GB2312" w:hAnsi="仿宋_GB2312" w:eastAsia="仿宋_GB2312" w:cs="仿宋_GB2312"/>
          <w:sz w:val="28"/>
          <w:szCs w:val="28"/>
        </w:rPr>
        <w:t>新型高效静电喷雾器、自走式喷雾机、无人机，选用高效、低</w:t>
      </w:r>
      <w:r>
        <w:rPr>
          <w:rFonts w:hint="eastAsia" w:ascii="仿宋_GB2312" w:hAnsi="仿宋_GB2312" w:eastAsia="仿宋_GB2312" w:cs="仿宋_GB2312"/>
          <w:sz w:val="28"/>
          <w:szCs w:val="28"/>
        </w:rPr>
        <w:t>风险</w:t>
      </w:r>
      <w:r>
        <w:rPr>
          <w:rFonts w:ascii="仿宋_GB2312" w:hAnsi="仿宋_GB2312" w:eastAsia="仿宋_GB2312" w:cs="仿宋_GB2312"/>
          <w:sz w:val="28"/>
          <w:szCs w:val="28"/>
        </w:rPr>
        <w:t>、低残留农药，针对病虫种类选择药剂，注意兼治。严格按照农药安全间隔期，科学合理用药，提高防治质量、效果和效率，减小劳动强度，降低生产成本。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643" w:firstLineChars="200"/>
        <w:rPr>
          <w:rFonts w:ascii="楷体" w:hAnsi="楷体" w:eastAsia="楷体" w:cs="仿宋_GB2312"/>
          <w:b/>
          <w:sz w:val="32"/>
          <w:szCs w:val="32"/>
        </w:rPr>
      </w:pPr>
      <w:r>
        <w:rPr>
          <w:rFonts w:ascii="楷体" w:hAnsi="楷体" w:eastAsia="楷体" w:cs="仿宋_GB2312"/>
          <w:b/>
          <w:sz w:val="32"/>
          <w:szCs w:val="32"/>
        </w:rPr>
        <w:t>（</w:t>
      </w:r>
      <w:r>
        <w:rPr>
          <w:rFonts w:hint="eastAsia" w:ascii="楷体" w:hAnsi="楷体" w:eastAsia="楷体" w:cs="仿宋_GB2312"/>
          <w:b/>
          <w:sz w:val="32"/>
          <w:szCs w:val="32"/>
        </w:rPr>
        <w:t>五</w:t>
      </w:r>
      <w:r>
        <w:rPr>
          <w:rFonts w:ascii="楷体" w:hAnsi="楷体" w:eastAsia="楷体" w:cs="仿宋_GB2312"/>
          <w:b/>
          <w:sz w:val="32"/>
          <w:szCs w:val="32"/>
        </w:rPr>
        <w:t>）适时收获，安全贮藏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鲜食甘薯通常以销售为主，可在生长期达到110天后，根据田间薯块生长情况</w:t>
      </w:r>
      <w:r>
        <w:rPr>
          <w:rFonts w:hint="eastAsia" w:ascii="仿宋_GB2312" w:hAnsi="仿宋_GB2312" w:eastAsia="仿宋_GB2312" w:cs="仿宋_GB2312"/>
          <w:sz w:val="28"/>
          <w:szCs w:val="28"/>
        </w:rPr>
        <w:t>及</w:t>
      </w:r>
      <w:r>
        <w:rPr>
          <w:rFonts w:ascii="仿宋_GB2312" w:hAnsi="仿宋_GB2312" w:eastAsia="仿宋_GB2312" w:cs="仿宋_GB2312"/>
          <w:sz w:val="28"/>
          <w:szCs w:val="28"/>
        </w:rPr>
        <w:t>市场</w:t>
      </w:r>
      <w:r>
        <w:rPr>
          <w:rFonts w:hint="eastAsia" w:ascii="仿宋_GB2312" w:hAnsi="仿宋_GB2312" w:eastAsia="仿宋_GB2312" w:cs="仿宋_GB2312"/>
          <w:sz w:val="28"/>
          <w:szCs w:val="28"/>
        </w:rPr>
        <w:t>行</w:t>
      </w:r>
      <w:r>
        <w:rPr>
          <w:rFonts w:ascii="仿宋_GB2312" w:hAnsi="仿宋_GB2312" w:eastAsia="仿宋_GB2312" w:cs="仿宋_GB2312"/>
          <w:sz w:val="28"/>
          <w:szCs w:val="28"/>
        </w:rPr>
        <w:t>情，及时收获上市。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以种薯及贮藏为主时，可于10月中旬开始收获，选择晴天收获，霜降前收完。收获后适当晾晒，去除表面杂质，剔除带病、破损等薯块装框运输，运输工具要清洁、干燥、松软。运输过程中防撞，防倾倒，防挤压，防雨淋，防污染。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Times New Roman" w:hAnsi="Times New Roman" w:eastAsia="仿宋_GB2312" w:cs="Times New Roman"/>
          <w:sz w:val="32"/>
          <w:szCs w:val="32"/>
        </w:rPr>
      </w:pPr>
      <w:r>
        <w:rPr>
          <w:rFonts w:ascii="仿宋_GB2312" w:hAnsi="仿宋_GB2312" w:eastAsia="仿宋_GB2312" w:cs="仿宋_GB2312"/>
          <w:sz w:val="28"/>
          <w:szCs w:val="28"/>
        </w:rPr>
        <w:t>贮存时贮藏窖要通风、无污染，保持窖内温度10</w:t>
      </w:r>
      <w:r>
        <w:rPr>
          <w:rFonts w:hint="eastAsia" w:ascii="仿宋_GB2312" w:hAnsi="仿宋_GB2312" w:eastAsia="仿宋_GB2312" w:cs="仿宋_GB2312"/>
          <w:sz w:val="28"/>
          <w:szCs w:val="28"/>
        </w:rPr>
        <w:t>～</w:t>
      </w:r>
      <w:r>
        <w:rPr>
          <w:rFonts w:ascii="仿宋_GB2312" w:hAnsi="仿宋_GB2312" w:eastAsia="仿宋_GB2312" w:cs="仿宋_GB2312"/>
          <w:sz w:val="28"/>
          <w:szCs w:val="28"/>
        </w:rPr>
        <w:t>15</w:t>
      </w:r>
      <w:r>
        <w:rPr>
          <w:rFonts w:hint="eastAsia" w:ascii="仿宋_GB2312" w:hAnsi="仿宋_GB2312" w:eastAsia="仿宋_GB2312" w:cs="仿宋_GB2312"/>
          <w:sz w:val="28"/>
          <w:szCs w:val="28"/>
        </w:rPr>
        <w:t>℃</w:t>
      </w:r>
      <w:r>
        <w:rPr>
          <w:rFonts w:ascii="仿宋_GB2312" w:hAnsi="仿宋_GB2312" w:eastAsia="仿宋_GB2312" w:cs="仿宋_GB2312"/>
          <w:sz w:val="28"/>
          <w:szCs w:val="28"/>
        </w:rPr>
        <w:t>，空气相对湿度85%</w:t>
      </w:r>
      <w:r>
        <w:rPr>
          <w:rFonts w:hint="eastAsia" w:ascii="仿宋_GB2312" w:hAnsi="仿宋_GB2312" w:eastAsia="仿宋_GB2312" w:cs="仿宋_GB2312"/>
          <w:sz w:val="28"/>
          <w:szCs w:val="28"/>
        </w:rPr>
        <w:t>～</w:t>
      </w:r>
      <w:r>
        <w:rPr>
          <w:rFonts w:ascii="仿宋_GB2312" w:hAnsi="仿宋_GB2312" w:eastAsia="仿宋_GB2312" w:cs="仿宋_GB2312"/>
          <w:sz w:val="28"/>
          <w:szCs w:val="28"/>
        </w:rPr>
        <w:t>90%。</w:t>
      </w:r>
    </w:p>
    <w:p>
      <w:pPr>
        <w:tabs>
          <w:tab w:val="left" w:pos="1720"/>
        </w:tabs>
        <w:adjustRightInd w:val="0"/>
        <w:snapToGrid w:val="0"/>
        <w:spacing w:line="360" w:lineRule="auto"/>
        <w:rPr>
          <w:rFonts w:ascii="Times New Roman" w:hAnsi="Times New Roman" w:cs="Times New Roman"/>
          <w:color w:val="000000"/>
          <w:sz w:val="32"/>
          <w:szCs w:val="32"/>
        </w:rPr>
      </w:pPr>
      <w:r>
        <w:rPr>
          <w:rFonts w:ascii="Times New Roman" w:hAnsi="Times New Roman" w:cs="Times New Roman"/>
          <w:b/>
          <w:bCs/>
          <w:color w:val="000000"/>
          <w:sz w:val="32"/>
          <w:szCs w:val="32"/>
        </w:rPr>
        <w:t>三、适宜区域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适合</w:t>
      </w:r>
      <w:r>
        <w:rPr>
          <w:rFonts w:hint="eastAsia" w:ascii="仿宋_GB2312" w:hAnsi="仿宋_GB2312" w:eastAsia="仿宋_GB2312" w:cs="仿宋_GB2312"/>
          <w:sz w:val="28"/>
          <w:szCs w:val="28"/>
        </w:rPr>
        <w:t>贵州、四川、重庆、云南等丘陵山地甘薯种植区域</w:t>
      </w:r>
      <w:r>
        <w:rPr>
          <w:rFonts w:ascii="仿宋_GB2312" w:hAnsi="仿宋_GB2312" w:eastAsia="仿宋_GB2312" w:cs="仿宋_GB2312"/>
          <w:sz w:val="28"/>
          <w:szCs w:val="28"/>
        </w:rPr>
        <w:t>。</w:t>
      </w:r>
    </w:p>
    <w:p>
      <w:pPr>
        <w:tabs>
          <w:tab w:val="left" w:pos="1720"/>
        </w:tabs>
        <w:adjustRightInd w:val="0"/>
        <w:snapToGrid w:val="0"/>
        <w:spacing w:line="360" w:lineRule="auto"/>
        <w:rPr>
          <w:rFonts w:ascii="Times New Roman" w:hAnsi="Times New Roman" w:cs="Times New Roman"/>
          <w:color w:val="000000"/>
          <w:sz w:val="32"/>
          <w:szCs w:val="32"/>
        </w:rPr>
      </w:pPr>
      <w:r>
        <w:rPr>
          <w:rFonts w:ascii="Times New Roman" w:hAnsi="Times New Roman" w:cs="Times New Roman"/>
          <w:b/>
          <w:bCs/>
          <w:color w:val="000000"/>
          <w:sz w:val="32"/>
          <w:szCs w:val="32"/>
        </w:rPr>
        <w:t>四、注意事项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注意选择结薯较浅、薯形较短甘薯品种；注意栽插模式，采用单垄双行平行栽插模式，结薯浅，薯形整齐；根据不同地块选择不同的机械设备。</w:t>
      </w:r>
    </w:p>
    <w:p>
      <w:pPr>
        <w:tabs>
          <w:tab w:val="left" w:pos="1720"/>
        </w:tabs>
        <w:adjustRightInd w:val="0"/>
        <w:snapToGrid w:val="0"/>
        <w:spacing w:line="360" w:lineRule="auto"/>
        <w:rPr>
          <w:rFonts w:ascii="Times New Roman" w:hAnsi="Times New Roman" w:cs="Times New Roman"/>
          <w:color w:val="000000"/>
          <w:sz w:val="32"/>
          <w:szCs w:val="32"/>
        </w:rPr>
      </w:pPr>
      <w:r>
        <w:rPr>
          <w:rFonts w:ascii="Times New Roman" w:hAnsi="Times New Roman" w:cs="Times New Roman"/>
          <w:b/>
          <w:bCs/>
          <w:color w:val="000000"/>
          <w:sz w:val="32"/>
          <w:szCs w:val="32"/>
        </w:rPr>
        <w:t>五、技术依托单位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单位名称：贵州省</w:t>
      </w:r>
      <w:r>
        <w:rPr>
          <w:rFonts w:hint="eastAsia" w:ascii="仿宋_GB2312" w:hAnsi="仿宋_GB2312" w:eastAsia="仿宋_GB2312" w:cs="仿宋_GB2312"/>
          <w:sz w:val="28"/>
          <w:szCs w:val="28"/>
        </w:rPr>
        <w:t>生物技术研究所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联系地址：贵阳市花溪区</w:t>
      </w:r>
      <w:r>
        <w:rPr>
          <w:rFonts w:hint="eastAsia" w:ascii="仿宋_GB2312" w:hAnsi="仿宋_GB2312" w:eastAsia="仿宋_GB2312" w:cs="仿宋_GB2312"/>
          <w:sz w:val="28"/>
          <w:szCs w:val="28"/>
        </w:rPr>
        <w:t>金农社区</w:t>
      </w:r>
      <w:r>
        <w:rPr>
          <w:rFonts w:ascii="仿宋_GB2312" w:hAnsi="仿宋_GB2312" w:eastAsia="仿宋_GB2312" w:cs="仿宋_GB2312"/>
          <w:sz w:val="28"/>
          <w:szCs w:val="28"/>
        </w:rPr>
        <w:t>贵州省</w:t>
      </w:r>
      <w:r>
        <w:rPr>
          <w:rFonts w:hint="eastAsia" w:ascii="仿宋_GB2312" w:hAnsi="仿宋_GB2312" w:eastAsia="仿宋_GB2312" w:cs="仿宋_GB2312"/>
          <w:sz w:val="28"/>
          <w:szCs w:val="28"/>
        </w:rPr>
        <w:t>农科院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</w:rPr>
        <w:t>邮政编码：550006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联系人：</w:t>
      </w:r>
      <w:r>
        <w:rPr>
          <w:rFonts w:hint="eastAsia" w:ascii="仿宋_GB2312" w:hAnsi="仿宋_GB2312" w:eastAsia="仿宋_GB2312" w:cs="仿宋_GB2312"/>
          <w:sz w:val="28"/>
          <w:szCs w:val="28"/>
        </w:rPr>
        <w:t>李晓慧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联系电话：13</w:t>
      </w:r>
      <w:r>
        <w:rPr>
          <w:rFonts w:hint="eastAsia" w:ascii="仿宋_GB2312" w:hAnsi="仿宋_GB2312" w:eastAsia="仿宋_GB2312" w:cs="仿宋_GB2312"/>
          <w:sz w:val="28"/>
          <w:szCs w:val="28"/>
        </w:rPr>
        <w:t>595128163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电子信箱：</w: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begin"/>
      </w:r>
      <w:r>
        <w:rPr>
          <w:rFonts w:hint="eastAsia" w:ascii="仿宋_GB2312" w:hAnsi="仿宋_GB2312" w:eastAsia="仿宋_GB2312" w:cs="仿宋_GB2312"/>
          <w:sz w:val="28"/>
          <w:szCs w:val="28"/>
        </w:rPr>
        <w:instrText xml:space="preserve"> HYPERLINK "mailto:330446630@qq.com" </w:instrTex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separate"/>
      </w:r>
      <w:r>
        <w:rPr>
          <w:rFonts w:hint="eastAsia" w:ascii="仿宋_GB2312" w:hAnsi="仿宋_GB2312" w:eastAsia="仿宋_GB2312" w:cs="仿宋_GB2312"/>
          <w:sz w:val="28"/>
          <w:szCs w:val="28"/>
        </w:rPr>
        <w:t>330446630</w:t>
      </w:r>
      <w:r>
        <w:rPr>
          <w:rFonts w:ascii="仿宋_GB2312" w:hAnsi="仿宋_GB2312" w:eastAsia="仿宋_GB2312" w:cs="仿宋_GB2312"/>
          <w:sz w:val="28"/>
          <w:szCs w:val="28"/>
        </w:rPr>
        <w:t>@</w:t>
      </w:r>
      <w:r>
        <w:rPr>
          <w:rFonts w:hint="eastAsia" w:ascii="仿宋_GB2312" w:hAnsi="仿宋_GB2312" w:eastAsia="仿宋_GB2312" w:cs="仿宋_GB2312"/>
          <w:sz w:val="28"/>
          <w:szCs w:val="28"/>
        </w:rPr>
        <w:t>qq.com</w:t>
      </w:r>
      <w:r>
        <w:rPr>
          <w:rFonts w:hint="eastAsia" w:ascii="仿宋_GB2312" w:hAnsi="仿宋_GB2312" w:eastAsia="仿宋_GB2312" w:cs="仿宋_GB2312"/>
          <w:sz w:val="28"/>
          <w:szCs w:val="28"/>
        </w:rPr>
        <w:fldChar w:fldCharType="end"/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</w:rPr>
      </w:pPr>
    </w:p>
    <w:p>
      <w:pPr>
        <w:tabs>
          <w:tab w:val="left" w:pos="1720"/>
        </w:tabs>
        <w:adjustRightInd w:val="0"/>
        <w:snapToGrid w:val="0"/>
        <w:spacing w:line="360" w:lineRule="auto"/>
        <w:ind w:firstLine="643" w:firstLineChars="200"/>
        <w:jc w:val="left"/>
        <w:rPr>
          <w:rFonts w:ascii="Times New Roman" w:hAnsi="Times New Roman" w:eastAsia="楷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p>
      <w:pPr>
        <w:adjustRightInd w:val="0"/>
        <w:snapToGrid w:val="0"/>
        <w:spacing w:line="36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  <w:r>
        <w:rPr>
          <w:rFonts w:ascii="Times New Roman" w:hAnsi="Times New Roman" w:cs="Times New Roman"/>
          <w:bCs/>
          <w:sz w:val="32"/>
          <w:szCs w:val="32"/>
        </w:rPr>
        <w:drawing>
          <wp:inline distT="0" distB="0" distL="0" distR="0">
            <wp:extent cx="4851400" cy="2907030"/>
            <wp:effectExtent l="0" t="0" r="6350" b="7620"/>
            <wp:docPr id="1026" name="Picture 2" descr="H:\2016年资料\6.1区试补栽\P10602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H:\2016年资料\6.1区试补栽\P106023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r="6070"/>
                    <a:stretch>
                      <a:fillRect/>
                    </a:stretch>
                  </pic:blipFill>
                  <pic:spPr>
                    <a:xfrm>
                      <a:off x="0" y="0"/>
                      <a:ext cx="4849276" cy="29061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jc w:val="center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图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1</w:t>
      </w:r>
      <w:r>
        <w:rPr>
          <w:rFonts w:hint="eastAsia" w:ascii="仿宋_GB2312" w:hAnsi="仿宋_GB2312" w:eastAsia="仿宋_GB2312" w:cs="仿宋_GB2312"/>
          <w:sz w:val="28"/>
          <w:szCs w:val="28"/>
        </w:rPr>
        <w:t xml:space="preserve">  </w:t>
      </w:r>
      <w:r>
        <w:rPr>
          <w:rFonts w:ascii="仿宋_GB2312" w:hAnsi="仿宋_GB2312" w:eastAsia="仿宋_GB2312" w:cs="仿宋_GB2312"/>
          <w:sz w:val="28"/>
          <w:szCs w:val="28"/>
        </w:rPr>
        <w:t>黑膜覆盖示范</w:t>
      </w:r>
    </w:p>
    <w:p>
      <w:pPr>
        <w:adjustRightInd w:val="0"/>
        <w:snapToGrid w:val="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drawing>
          <wp:inline distT="0" distB="0" distL="0" distR="0">
            <wp:extent cx="4768850" cy="3853180"/>
            <wp:effectExtent l="0" t="0" r="12700" b="13970"/>
            <wp:docPr id="125954" name="Picture 2" descr="F:\123\18年12.28\18年12.23\18年总结\图片\253365841767175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54" name="Picture 2" descr="F:\123\18年12.28\18年12.23\18年总结\图片\25336584176717564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40" r="3545"/>
                    <a:stretch>
                      <a:fillRect/>
                    </a:stretch>
                  </pic:blipFill>
                  <pic:spPr>
                    <a:xfrm>
                      <a:off x="0" y="0"/>
                      <a:ext cx="4766806" cy="38518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jc w:val="center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图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2</w:t>
      </w:r>
      <w:r>
        <w:rPr>
          <w:rFonts w:ascii="仿宋_GB2312" w:hAnsi="仿宋_GB2312" w:eastAsia="仿宋_GB2312" w:cs="仿宋_GB2312"/>
          <w:sz w:val="28"/>
          <w:szCs w:val="28"/>
        </w:rPr>
        <w:t>单</w:t>
      </w:r>
      <w:r>
        <w:rPr>
          <w:rFonts w:hint="eastAsia" w:ascii="仿宋_GB2312" w:hAnsi="仿宋_GB2312" w:eastAsia="仿宋_GB2312" w:cs="仿宋_GB2312"/>
          <w:sz w:val="28"/>
          <w:szCs w:val="28"/>
        </w:rPr>
        <w:t>垄</w:t>
      </w:r>
      <w:r>
        <w:rPr>
          <w:rFonts w:ascii="仿宋_GB2312" w:hAnsi="仿宋_GB2312" w:eastAsia="仿宋_GB2312" w:cs="仿宋_GB2312"/>
          <w:sz w:val="28"/>
          <w:szCs w:val="28"/>
        </w:rPr>
        <w:t>双行平行栽插结薯情况</w:t>
      </w:r>
    </w:p>
    <w:p>
      <w:pPr>
        <w:adjustRightInd w:val="0"/>
        <w:snapToGrid w:val="0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422525" cy="1607820"/>
            <wp:effectExtent l="0" t="0" r="15875" b="11430"/>
            <wp:docPr id="25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4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4743" cy="1622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2"/>
          <w:szCs w:val="32"/>
        </w:rPr>
        <w:drawing>
          <wp:inline distT="0" distB="0" distL="0" distR="0">
            <wp:extent cx="2625725" cy="1610360"/>
            <wp:effectExtent l="0" t="0" r="3175" b="8890"/>
            <wp:docPr id="20" name="Picture 7" descr="mmexport15564131758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7" descr="mmexport15564131758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3185"/>
                    <a:stretch>
                      <a:fillRect/>
                    </a:stretch>
                  </pic:blipFill>
                  <pic:spPr>
                    <a:xfrm>
                      <a:off x="0" y="0"/>
                      <a:ext cx="2630842" cy="161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jc w:val="center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图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3</w:t>
      </w:r>
      <w:r>
        <w:rPr>
          <w:rFonts w:ascii="仿宋_GB2312" w:hAnsi="仿宋_GB2312" w:eastAsia="仿宋_GB2312" w:cs="仿宋_GB2312"/>
          <w:sz w:val="28"/>
          <w:szCs w:val="28"/>
        </w:rPr>
        <w:t>机械化起垄、覆膜示范</w:t>
      </w:r>
    </w:p>
    <w:p>
      <w:pPr>
        <w:adjustRightInd w:val="0"/>
        <w:snapToGrid w:val="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32"/>
          <w:szCs w:val="32"/>
        </w:rPr>
        <w:drawing>
          <wp:inline distT="0" distB="0" distL="0" distR="0">
            <wp:extent cx="2616200" cy="1494790"/>
            <wp:effectExtent l="0" t="0" r="12700" b="10160"/>
            <wp:docPr id="614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22000"/>
                    <a:stretch>
                      <a:fillRect/>
                    </a:stretch>
                  </pic:blipFill>
                  <pic:spPr>
                    <a:xfrm>
                      <a:off x="0" y="0"/>
                      <a:ext cx="2638392" cy="1507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drawing>
          <wp:inline distT="0" distB="0" distL="0" distR="0">
            <wp:extent cx="2628900" cy="1478280"/>
            <wp:effectExtent l="0" t="0" r="0" b="7620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9534" cy="1490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jc w:val="center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图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sz w:val="28"/>
          <w:szCs w:val="28"/>
        </w:rPr>
        <w:t xml:space="preserve"> </w:t>
      </w:r>
      <w:r>
        <w:rPr>
          <w:rFonts w:ascii="仿宋_GB2312" w:hAnsi="仿宋_GB2312" w:eastAsia="仿宋_GB2312" w:cs="仿宋_GB2312"/>
          <w:sz w:val="28"/>
          <w:szCs w:val="28"/>
        </w:rPr>
        <w:t>机械化割蔓示范</w:t>
      </w:r>
    </w:p>
    <w:p>
      <w:pPr>
        <w:adjustRightInd w:val="0"/>
        <w:snapToGrid w:val="0"/>
        <w:jc w:val="lef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622550" cy="1752600"/>
            <wp:effectExtent l="0" t="0" r="6350" b="0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29" b="4675"/>
                    <a:stretch>
                      <a:fillRect/>
                    </a:stretch>
                  </pic:blipFill>
                  <pic:spPr>
                    <a:xfrm>
                      <a:off x="0" y="0"/>
                      <a:ext cx="2622675" cy="175268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drawing>
          <wp:inline distT="0" distB="0" distL="0" distR="0">
            <wp:extent cx="2618105" cy="1752600"/>
            <wp:effectExtent l="0" t="0" r="10795" b="0"/>
            <wp:docPr id="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3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23535" cy="175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jc w:val="center"/>
        <w:rPr>
          <w:rFonts w:ascii="仿宋_GB2312" w:hAnsi="仿宋_GB2312" w:eastAsia="仿宋_GB2312" w:cs="仿宋_GB2312"/>
          <w:sz w:val="28"/>
          <w:szCs w:val="28"/>
        </w:rPr>
      </w:pPr>
      <w:r>
        <w:rPr>
          <w:rFonts w:ascii="仿宋_GB2312" w:hAnsi="仿宋_GB2312" w:eastAsia="仿宋_GB2312" w:cs="仿宋_GB2312"/>
          <w:sz w:val="28"/>
          <w:szCs w:val="28"/>
        </w:rPr>
        <w:t>图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5</w:t>
      </w:r>
      <w:r>
        <w:rPr>
          <w:rFonts w:ascii="仿宋_GB2312" w:hAnsi="仿宋_GB2312" w:eastAsia="仿宋_GB2312" w:cs="仿宋_GB2312"/>
          <w:sz w:val="28"/>
          <w:szCs w:val="28"/>
        </w:rPr>
        <w:t>机械化收获示范</w:t>
      </w:r>
    </w:p>
    <w:p>
      <w:pPr>
        <w:tabs>
          <w:tab w:val="left" w:pos="1720"/>
        </w:tabs>
        <w:adjustRightInd w:val="0"/>
        <w:snapToGrid w:val="0"/>
        <w:spacing w:line="360" w:lineRule="auto"/>
        <w:ind w:firstLine="560" w:firstLineChars="200"/>
        <w:rPr>
          <w:rFonts w:hint="eastAsia" w:ascii="仿宋_GB2312" w:hAnsi="仿宋_GB2312" w:eastAsia="仿宋_GB2312" w:cs="仿宋_GB2312"/>
          <w:sz w:val="28"/>
          <w:szCs w:val="28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Meiryo UI">
    <w:panose1 w:val="020B0604030504040204"/>
    <w:charset w:val="80"/>
    <w:family w:val="swiss"/>
    <w:pitch w:val="default"/>
    <w:sig w:usb0="E10102FF" w:usb1="EAC7FFFF" w:usb2="00010012" w:usb3="00000000" w:csb0="6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8420" cy="139700"/>
              <wp:effectExtent l="0" t="0" r="11430" b="635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420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1pt;width:4.6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O9sZGvRAAAAAgEAAA8AAAAAAAAAAQAgAAAAIgAAAGRycy9kb3ducmV2LnhtbFBLAQIUABQAAAAI&#10;AIdO4kAD09VxLQIAAFIEAAAOAAAAAAAAAAEAIAAAACABAABkcnMvZTJvRG9jLnhtbFBLBQYAAAAA&#10;BgAGAFkBAAC/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8"/>
  <w:embedSystem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c5OGZkZmVkODBmMzk2NmQzYjM1ZWNjMGM3Y2U2ZjMifQ=="/>
    <w:docVar w:name="KSO_WPS_MARK_KEY" w:val="1f360427-0c37-4f73-b833-c654ad44e792"/>
  </w:docVars>
  <w:rsids>
    <w:rsidRoot w:val="172A2ADA"/>
    <w:rsid w:val="00001E2B"/>
    <w:rsid w:val="0000629E"/>
    <w:rsid w:val="00013E87"/>
    <w:rsid w:val="00015E35"/>
    <w:rsid w:val="00054D99"/>
    <w:rsid w:val="000570AB"/>
    <w:rsid w:val="00061F1A"/>
    <w:rsid w:val="000655EA"/>
    <w:rsid w:val="0006707B"/>
    <w:rsid w:val="000A3330"/>
    <w:rsid w:val="000B3D51"/>
    <w:rsid w:val="000B4EF2"/>
    <w:rsid w:val="000D4A5E"/>
    <w:rsid w:val="000E04B6"/>
    <w:rsid w:val="000E4605"/>
    <w:rsid w:val="00120263"/>
    <w:rsid w:val="00195FF6"/>
    <w:rsid w:val="001C585C"/>
    <w:rsid w:val="001D5AB5"/>
    <w:rsid w:val="001E1385"/>
    <w:rsid w:val="00212E9D"/>
    <w:rsid w:val="00230888"/>
    <w:rsid w:val="00232061"/>
    <w:rsid w:val="00260F54"/>
    <w:rsid w:val="00263E98"/>
    <w:rsid w:val="00270094"/>
    <w:rsid w:val="002844D9"/>
    <w:rsid w:val="00294A0D"/>
    <w:rsid w:val="002B376D"/>
    <w:rsid w:val="002C1517"/>
    <w:rsid w:val="002C5717"/>
    <w:rsid w:val="002E7588"/>
    <w:rsid w:val="00347D56"/>
    <w:rsid w:val="00394B50"/>
    <w:rsid w:val="003965DB"/>
    <w:rsid w:val="003E38F8"/>
    <w:rsid w:val="00403D9E"/>
    <w:rsid w:val="00426CF6"/>
    <w:rsid w:val="00454A2F"/>
    <w:rsid w:val="00467105"/>
    <w:rsid w:val="0049758F"/>
    <w:rsid w:val="004D035C"/>
    <w:rsid w:val="004F4C77"/>
    <w:rsid w:val="004F5A86"/>
    <w:rsid w:val="00555528"/>
    <w:rsid w:val="0055768F"/>
    <w:rsid w:val="005764BA"/>
    <w:rsid w:val="00595CDA"/>
    <w:rsid w:val="005F50B1"/>
    <w:rsid w:val="006016FF"/>
    <w:rsid w:val="00643B03"/>
    <w:rsid w:val="00663069"/>
    <w:rsid w:val="00672F61"/>
    <w:rsid w:val="006D6D8A"/>
    <w:rsid w:val="006F17CC"/>
    <w:rsid w:val="0073235A"/>
    <w:rsid w:val="007359C2"/>
    <w:rsid w:val="00736B35"/>
    <w:rsid w:val="00741B69"/>
    <w:rsid w:val="00744E66"/>
    <w:rsid w:val="007542D2"/>
    <w:rsid w:val="007641AA"/>
    <w:rsid w:val="00775CA8"/>
    <w:rsid w:val="00777FF1"/>
    <w:rsid w:val="00783821"/>
    <w:rsid w:val="007954BC"/>
    <w:rsid w:val="007B026D"/>
    <w:rsid w:val="007B13E8"/>
    <w:rsid w:val="007B7782"/>
    <w:rsid w:val="007C10A7"/>
    <w:rsid w:val="007C6623"/>
    <w:rsid w:val="00806ECC"/>
    <w:rsid w:val="00833998"/>
    <w:rsid w:val="00847303"/>
    <w:rsid w:val="00854E18"/>
    <w:rsid w:val="00866186"/>
    <w:rsid w:val="00876A36"/>
    <w:rsid w:val="008872F0"/>
    <w:rsid w:val="00897A34"/>
    <w:rsid w:val="008A0400"/>
    <w:rsid w:val="008B4498"/>
    <w:rsid w:val="008D2BCA"/>
    <w:rsid w:val="008D5913"/>
    <w:rsid w:val="008E54A3"/>
    <w:rsid w:val="008E634C"/>
    <w:rsid w:val="008F3815"/>
    <w:rsid w:val="00907D7C"/>
    <w:rsid w:val="00913A94"/>
    <w:rsid w:val="00953C35"/>
    <w:rsid w:val="0097127D"/>
    <w:rsid w:val="00971C7F"/>
    <w:rsid w:val="00977129"/>
    <w:rsid w:val="00982B74"/>
    <w:rsid w:val="0099302F"/>
    <w:rsid w:val="00996812"/>
    <w:rsid w:val="00997549"/>
    <w:rsid w:val="009A4BDB"/>
    <w:rsid w:val="009A6494"/>
    <w:rsid w:val="009B3F9E"/>
    <w:rsid w:val="009B42C0"/>
    <w:rsid w:val="009C2848"/>
    <w:rsid w:val="009D43E6"/>
    <w:rsid w:val="009E51FE"/>
    <w:rsid w:val="00A04364"/>
    <w:rsid w:val="00A17C44"/>
    <w:rsid w:val="00A2167B"/>
    <w:rsid w:val="00A30BB0"/>
    <w:rsid w:val="00A35F40"/>
    <w:rsid w:val="00A3660F"/>
    <w:rsid w:val="00A629E1"/>
    <w:rsid w:val="00A90B54"/>
    <w:rsid w:val="00AA1D58"/>
    <w:rsid w:val="00AA5572"/>
    <w:rsid w:val="00AC099F"/>
    <w:rsid w:val="00AC191F"/>
    <w:rsid w:val="00AE7EDB"/>
    <w:rsid w:val="00B03A42"/>
    <w:rsid w:val="00B06478"/>
    <w:rsid w:val="00B14F54"/>
    <w:rsid w:val="00B3295F"/>
    <w:rsid w:val="00B32CAD"/>
    <w:rsid w:val="00B45C26"/>
    <w:rsid w:val="00B51359"/>
    <w:rsid w:val="00B8030E"/>
    <w:rsid w:val="00B8720F"/>
    <w:rsid w:val="00B91B76"/>
    <w:rsid w:val="00BA02CD"/>
    <w:rsid w:val="00BA0662"/>
    <w:rsid w:val="00BD4869"/>
    <w:rsid w:val="00BF47EE"/>
    <w:rsid w:val="00C1281E"/>
    <w:rsid w:val="00C34A67"/>
    <w:rsid w:val="00C35482"/>
    <w:rsid w:val="00C77EA9"/>
    <w:rsid w:val="00C955CA"/>
    <w:rsid w:val="00CB1A9B"/>
    <w:rsid w:val="00CB7191"/>
    <w:rsid w:val="00CF30F7"/>
    <w:rsid w:val="00D8227A"/>
    <w:rsid w:val="00D8492C"/>
    <w:rsid w:val="00D923CE"/>
    <w:rsid w:val="00DB17B8"/>
    <w:rsid w:val="00DB1E31"/>
    <w:rsid w:val="00DB201F"/>
    <w:rsid w:val="00DC46C1"/>
    <w:rsid w:val="00DD2D5A"/>
    <w:rsid w:val="00E11237"/>
    <w:rsid w:val="00E42B06"/>
    <w:rsid w:val="00E50531"/>
    <w:rsid w:val="00E87C8C"/>
    <w:rsid w:val="00E900C0"/>
    <w:rsid w:val="00EC4FD5"/>
    <w:rsid w:val="00ED10E8"/>
    <w:rsid w:val="00ED6978"/>
    <w:rsid w:val="00EE3FAD"/>
    <w:rsid w:val="00F45A6F"/>
    <w:rsid w:val="00FA5481"/>
    <w:rsid w:val="00FB6F9C"/>
    <w:rsid w:val="00FF54D3"/>
    <w:rsid w:val="14ED197F"/>
    <w:rsid w:val="172A2ADA"/>
    <w:rsid w:val="248D1BE4"/>
    <w:rsid w:val="25E03B28"/>
    <w:rsid w:val="4AFC68BF"/>
    <w:rsid w:val="4E553CEE"/>
    <w:rsid w:val="56783146"/>
    <w:rsid w:val="5BFF08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nhideWhenUsed="0" w:uiPriority="0" w:semiHidden="0" w:name="table of authorities"/>
    <w:lsdException w:uiPriority="0" w:name="macro"/>
    <w:lsdException w:uiPriority="0" w:name="toa heading"/>
    <w:lsdException w:unhideWhenUsed="0" w:uiPriority="0" w:semiHidden="0" w:name="List"/>
    <w:lsdException w:unhideWhenUsed="0" w:uiPriority="0" w:semiHidden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iPriority="0" w:name="Message Header"/>
    <w:lsdException w:qFormat="1" w:unhideWhenUsed="0" w:uiPriority="0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3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qFormat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6">
    <w:name w:val="Table Grid"/>
    <w:basedOn w:val="5"/>
    <w:qFormat/>
    <w:uiPriority w:val="39"/>
    <w:rPr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Hyperlink"/>
    <w:basedOn w:val="7"/>
    <w:semiHidden/>
    <w:unhideWhenUsed/>
    <w:qFormat/>
    <w:uiPriority w:val="0"/>
    <w:rPr>
      <w:color w:val="0000FF"/>
      <w:u w:val="single"/>
    </w:rPr>
  </w:style>
  <w:style w:type="character" w:customStyle="1" w:styleId="9">
    <w:name w:val="批注框文本 Char"/>
    <w:basedOn w:val="7"/>
    <w:link w:val="2"/>
    <w:qFormat/>
    <w:uiPriority w:val="0"/>
    <w:rPr>
      <w:kern w:val="2"/>
      <w:sz w:val="18"/>
      <w:szCs w:val="18"/>
    </w:rPr>
  </w:style>
  <w:style w:type="paragraph" w:customStyle="1" w:styleId="10">
    <w:name w:val="页面正文"/>
    <w:basedOn w:val="1"/>
    <w:qFormat/>
    <w:uiPriority w:val="0"/>
    <w:pPr>
      <w:spacing w:line="360" w:lineRule="auto"/>
      <w:ind w:firstLine="200" w:firstLineChars="200"/>
      <w:jc w:val="left"/>
    </w:pPr>
    <w:rPr>
      <w:rFonts w:ascii="Times New Roman" w:hAnsi="Times New Roman" w:eastAsia="仿宋_GB2312" w:cs="Times New Roman"/>
      <w:kern w:val="0"/>
      <w:sz w:val="24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GI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HP</Company>
  <Pages>10</Pages>
  <Words>4121</Words>
  <Characters>4707</Characters>
  <Lines>39</Lines>
  <Paragraphs>10</Paragraphs>
  <TotalTime>6</TotalTime>
  <ScaleCrop>false</ScaleCrop>
  <LinksUpToDate>false</LinksUpToDate>
  <CharactersWithSpaces>4712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2024-01-10T18:15:00Z</dcterms:created>
  <dc:creator>admin</dc:creator>
  <cp:lastModifiedBy>Administrator</cp:lastModifiedBy>
  <dcterms:modified xsi:type="dcterms:W3CDTF">2024-03-28T08:58:30Z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CB239ED946984F5790938EDD514B52E7_12</vt:lpwstr>
  </property>
</Properties>
</file>