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hint="eastAsia" w:ascii="宋体" w:hAnsi="宋体" w:eastAsia="宋体" w:cs="宋体"/>
          <w:b w:val="0"/>
          <w:bCs/>
          <w:sz w:val="21"/>
          <w:szCs w:val="21"/>
        </w:rPr>
      </w:pPr>
      <w:r>
        <w:rPr>
          <w:rFonts w:hint="eastAsia" w:ascii="宋体" w:hAnsi="宋体" w:eastAsia="宋体" w:cs="宋体"/>
          <w:b w:val="0"/>
          <w:bCs/>
          <w:sz w:val="21"/>
          <w:szCs w:val="21"/>
        </w:rPr>
        <w:t>202</w:t>
      </w:r>
      <w:r>
        <w:rPr>
          <w:rFonts w:hint="eastAsia" w:ascii="宋体" w:hAnsi="宋体" w:eastAsia="宋体" w:cs="宋体"/>
          <w:b w:val="0"/>
          <w:bCs/>
          <w:sz w:val="21"/>
          <w:szCs w:val="21"/>
          <w:lang w:val="en-US" w:eastAsia="zh-CN"/>
        </w:rPr>
        <w:t>5</w:t>
      </w:r>
      <w:r>
        <w:rPr>
          <w:rFonts w:hint="eastAsia" w:ascii="宋体" w:hAnsi="宋体" w:eastAsia="宋体" w:cs="宋体"/>
          <w:b w:val="0"/>
          <w:bCs/>
          <w:sz w:val="21"/>
          <w:szCs w:val="21"/>
        </w:rPr>
        <w:t>年</w:t>
      </w:r>
      <w:r>
        <w:rPr>
          <w:rFonts w:hint="eastAsia" w:ascii="宋体" w:hAnsi="宋体" w:eastAsia="宋体" w:cs="宋体"/>
          <w:b w:val="0"/>
          <w:bCs/>
          <w:sz w:val="21"/>
          <w:szCs w:val="21"/>
          <w:lang w:eastAsia="zh-CN"/>
        </w:rPr>
        <w:t>黔东南州</w:t>
      </w:r>
      <w:r>
        <w:rPr>
          <w:rFonts w:hint="eastAsia" w:ascii="宋体" w:hAnsi="宋体" w:eastAsia="宋体" w:cs="宋体"/>
          <w:b w:val="0"/>
          <w:bCs/>
          <w:sz w:val="21"/>
          <w:szCs w:val="21"/>
        </w:rPr>
        <w:t>农业主推技术</w:t>
      </w:r>
    </w:p>
    <w:p>
      <w:pPr>
        <w:jc w:val="center"/>
        <w:rPr>
          <w:rFonts w:hint="eastAsia" w:ascii="华文中宋" w:hAnsi="华文中宋" w:eastAsia="华文中宋"/>
          <w:b/>
          <w:sz w:val="36"/>
          <w:szCs w:val="36"/>
          <w:lang w:val="en-US" w:eastAsia="zh-CN"/>
        </w:rPr>
      </w:pPr>
    </w:p>
    <w:p>
      <w:pPr>
        <w:jc w:val="center"/>
        <w:rPr>
          <w:rFonts w:hint="default" w:ascii="华文中宋" w:hAnsi="华文中宋" w:eastAsia="华文中宋"/>
          <w:b/>
          <w:bCs/>
          <w:sz w:val="36"/>
          <w:szCs w:val="36"/>
          <w:lang w:val="en-US" w:eastAsia="zh-CN"/>
        </w:rPr>
      </w:pPr>
      <w:r>
        <w:rPr>
          <w:rFonts w:hint="eastAsia" w:ascii="华文中宋" w:hAnsi="华文中宋" w:eastAsia="华文中宋"/>
          <w:b/>
          <w:sz w:val="36"/>
          <w:szCs w:val="36"/>
          <w:lang w:val="en-US" w:eastAsia="zh-CN"/>
        </w:rPr>
        <w:t>淫羊藿林下仿野生栽培技术</w:t>
      </w:r>
    </w:p>
    <w:p>
      <w:pPr>
        <w:keepNext w:val="0"/>
        <w:keepLines w:val="0"/>
        <w:pageBreakBefore w:val="0"/>
        <w:kinsoku/>
        <w:wordWrap/>
        <w:overflowPunct/>
        <w:topLinePunct w:val="0"/>
        <w:autoSpaceDE/>
        <w:autoSpaceDN/>
        <w:bidi w:val="0"/>
        <w:adjustRightInd w:val="0"/>
        <w:snapToGrid w:val="0"/>
        <w:spacing w:line="580" w:lineRule="exact"/>
        <w:ind w:firstLine="640" w:firstLineChars="200"/>
        <w:jc w:val="both"/>
        <w:textAlignment w:val="auto"/>
        <w:rPr>
          <w:rFonts w:ascii="Times New Roman" w:hAnsi="Times New Roman" w:eastAsia="黑体"/>
          <w:bCs/>
          <w:color w:val="000000" w:themeColor="text1"/>
          <w:sz w:val="32"/>
          <w:szCs w:val="32"/>
          <w14:textFill>
            <w14:solidFill>
              <w14:schemeClr w14:val="tx1"/>
            </w14:solidFill>
          </w14:textFill>
        </w:rPr>
      </w:pPr>
      <w:r>
        <w:rPr>
          <w:rFonts w:ascii="Times New Roman" w:hAnsi="Times New Roman" w:eastAsia="黑体"/>
          <w:bCs/>
          <w:color w:val="000000" w:themeColor="text1"/>
          <w:sz w:val="32"/>
          <w:szCs w:val="32"/>
          <w14:textFill>
            <w14:solidFill>
              <w14:schemeClr w14:val="tx1"/>
            </w14:solidFill>
          </w14:textFill>
        </w:rPr>
        <w:t>一、技术概述</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仿宋" w:hAnsi="仿宋" w:eastAsia="仿宋" w:cs="仿宋"/>
          <w:b w:val="0"/>
          <w:color w:val="000000" w:themeColor="text1"/>
          <w:sz w:val="32"/>
          <w:szCs w:val="32"/>
          <w:lang w:val="en-US" w:eastAsia="zh-CN"/>
          <w14:textFill>
            <w14:solidFill>
              <w14:schemeClr w14:val="tx1"/>
            </w14:solidFill>
          </w14:textFill>
        </w:rPr>
      </w:pPr>
      <w:r>
        <w:rPr>
          <w:rFonts w:ascii="Times New Roman" w:hAnsi="Times New Roman" w:eastAsia="楷体"/>
          <w:b/>
          <w:bCs/>
          <w:color w:val="000000" w:themeColor="text1"/>
          <w:sz w:val="32"/>
          <w:szCs w:val="32"/>
          <w14:textFill>
            <w14:solidFill>
              <w14:schemeClr w14:val="tx1"/>
            </w14:solidFill>
          </w14:textFill>
        </w:rPr>
        <w:t>（一）技术基本情况</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淫羊藿，2020版《中国药典》收载为小檗科植物淫羊藿</w:t>
      </w:r>
      <w:r>
        <w:rPr>
          <w:rFonts w:hint="eastAsia" w:ascii="Times New Roman" w:hAnsi="Times New Roman" w:cs="Times New Roman"/>
          <w:i/>
          <w:iCs/>
          <w:color w:val="000000"/>
          <w:sz w:val="32"/>
          <w:szCs w:val="32"/>
        </w:rPr>
        <w:t>Epimedium brevicomu</w:t>
      </w:r>
      <w:r>
        <w:rPr>
          <w:rFonts w:hint="eastAsia" w:ascii="仿宋_GB2312" w:hAnsi="仿宋_GB2312" w:eastAsia="仿宋_GB2312" w:cs="仿宋_GB2312"/>
          <w:color w:val="auto"/>
          <w:sz w:val="32"/>
          <w:szCs w:val="32"/>
          <w:lang w:val="en-US" w:eastAsia="zh-CN"/>
        </w:rPr>
        <w:t>、箭叶淫羊藿</w:t>
      </w:r>
      <w:r>
        <w:rPr>
          <w:rFonts w:hint="eastAsia" w:ascii="Times New Roman" w:hAnsi="Times New Roman" w:cs="Times New Roman"/>
          <w:i/>
          <w:iCs/>
          <w:color w:val="000000"/>
          <w:sz w:val="32"/>
          <w:szCs w:val="32"/>
        </w:rPr>
        <w:t>Epimedium sagittatum</w:t>
      </w:r>
      <w:r>
        <w:rPr>
          <w:rFonts w:hint="eastAsia" w:ascii="仿宋_GB2312" w:hAnsi="仿宋_GB2312" w:eastAsia="仿宋_GB2312" w:cs="仿宋_GB2312"/>
          <w:color w:val="auto"/>
          <w:sz w:val="32"/>
          <w:szCs w:val="32"/>
          <w:lang w:val="en-US" w:eastAsia="zh-CN"/>
        </w:rPr>
        <w:t>、柔毛淫羊藿</w:t>
      </w:r>
      <w:r>
        <w:rPr>
          <w:rFonts w:hint="eastAsia" w:ascii="Times New Roman" w:hAnsi="Times New Roman" w:cs="Times New Roman"/>
          <w:i/>
          <w:iCs/>
          <w:color w:val="000000"/>
          <w:sz w:val="32"/>
          <w:szCs w:val="32"/>
        </w:rPr>
        <w:t>Epimedium pubescens</w:t>
      </w:r>
      <w:r>
        <w:rPr>
          <w:rFonts w:hint="eastAsia" w:ascii="仿宋_GB2312" w:hAnsi="仿宋_GB2312" w:eastAsia="仿宋_GB2312" w:cs="仿宋_GB2312"/>
          <w:color w:val="auto"/>
          <w:sz w:val="32"/>
          <w:szCs w:val="32"/>
          <w:lang w:val="en-US" w:eastAsia="zh-CN"/>
        </w:rPr>
        <w:t>或朝鲜淫羊藿</w:t>
      </w:r>
      <w:r>
        <w:rPr>
          <w:rFonts w:hint="eastAsia" w:ascii="Times New Roman" w:hAnsi="Times New Roman" w:cs="Times New Roman"/>
          <w:i/>
          <w:iCs/>
          <w:color w:val="000000"/>
          <w:sz w:val="32"/>
          <w:szCs w:val="32"/>
        </w:rPr>
        <w:t>Epimedium koreanum</w:t>
      </w:r>
      <w:r>
        <w:rPr>
          <w:rFonts w:hint="eastAsia" w:ascii="仿宋_GB2312" w:hAnsi="仿宋_GB2312" w:eastAsia="仿宋_GB2312" w:cs="仿宋_GB2312"/>
          <w:color w:val="auto"/>
          <w:sz w:val="32"/>
          <w:szCs w:val="32"/>
          <w:lang w:val="en-US" w:eastAsia="zh-CN"/>
        </w:rPr>
        <w:t>的干燥叶。</w:t>
      </w:r>
      <w:r>
        <w:rPr>
          <w:rFonts w:hint="eastAsia" w:ascii="仿宋_GB2312" w:hAnsi="仿宋_GB2312" w:eastAsia="仿宋_GB2312" w:cs="仿宋_GB2312"/>
          <w:color w:val="auto"/>
          <w:sz w:val="32"/>
          <w:szCs w:val="32"/>
          <w:lang w:val="en-US" w:eastAsia="zh-CN"/>
        </w:rPr>
        <w:fldChar w:fldCharType="begin"/>
      </w:r>
      <w:r>
        <w:rPr>
          <w:rFonts w:hint="eastAsia" w:ascii="仿宋_GB2312" w:hAnsi="仿宋_GB2312" w:eastAsia="仿宋_GB2312" w:cs="仿宋_GB2312"/>
          <w:color w:val="auto"/>
          <w:sz w:val="32"/>
          <w:szCs w:val="32"/>
          <w:lang w:val="en-US" w:eastAsia="zh-CN"/>
        </w:rPr>
        <w:instrText xml:space="preserve"> HYPERLINK "https://baike.so.com/doc/2334247-2468780.html" \t "https://baike.so.com/doc/_blank" </w:instrText>
      </w:r>
      <w:r>
        <w:rPr>
          <w:rFonts w:hint="eastAsia" w:ascii="仿宋_GB2312" w:hAnsi="仿宋_GB2312" w:eastAsia="仿宋_GB2312" w:cs="仿宋_GB2312"/>
          <w:color w:val="auto"/>
          <w:sz w:val="32"/>
          <w:szCs w:val="32"/>
          <w:lang w:val="en-US" w:eastAsia="zh-CN"/>
        </w:rPr>
        <w:fldChar w:fldCharType="separate"/>
      </w:r>
      <w:r>
        <w:rPr>
          <w:rFonts w:hint="eastAsia" w:ascii="仿宋_GB2312" w:hAnsi="仿宋_GB2312" w:eastAsia="仿宋_GB2312" w:cs="仿宋_GB2312"/>
          <w:color w:val="auto"/>
          <w:sz w:val="32"/>
          <w:szCs w:val="32"/>
          <w:lang w:val="en-US" w:eastAsia="zh-CN"/>
        </w:rPr>
        <w:t>多年生</w:t>
      </w:r>
      <w:r>
        <w:rPr>
          <w:rFonts w:hint="eastAsia" w:ascii="仿宋_GB2312" w:hAnsi="仿宋_GB2312" w:eastAsia="仿宋_GB2312" w:cs="仿宋_GB2312"/>
          <w:color w:val="auto"/>
          <w:sz w:val="32"/>
          <w:szCs w:val="32"/>
          <w:lang w:val="en-US" w:eastAsia="zh-CN"/>
        </w:rPr>
        <w:fldChar w:fldCharType="end"/>
      </w:r>
      <w:r>
        <w:rPr>
          <w:rFonts w:hint="eastAsia" w:ascii="仿宋_GB2312" w:hAnsi="仿宋_GB2312" w:eastAsia="仿宋_GB2312" w:cs="仿宋_GB2312"/>
          <w:color w:val="auto"/>
          <w:sz w:val="32"/>
          <w:szCs w:val="32"/>
          <w:lang w:val="en-US" w:eastAsia="zh-CN"/>
        </w:rPr>
        <w:t>草本植物，定植一次可多年采收。为贵州省道地药材、贵州苗族等少数民族药材。2020年被贵州省列入中药材五大百亿级产业之一，在贵州省的中药材“十四五”规划中，明确提出至“十四五”末，贵州省淫羊藿林下种植面积拟达到10万亩。淫羊藿作为贵州省“黔六味”重点发展品种纳入农业农村部2023年优势特色产业集群建设。为深入贯彻落实习近平总书记“绿水青山就是金山银山”指示精神，按照省委、省政府大力发展林下经济、做大做强中药材优势特色产业的决策部署，黔东南州通过引入</w:t>
      </w:r>
      <w:r>
        <w:rPr>
          <w:rFonts w:hint="eastAsia" w:ascii="仿宋_GB2312" w:hAnsi="仿宋_GB2312" w:eastAsia="仿宋_GB2312" w:cs="仿宋_GB2312"/>
          <w:color w:val="auto"/>
          <w:sz w:val="32"/>
          <w:szCs w:val="32"/>
          <w:lang w:val="en-US" w:eastAsia="zh-CN"/>
        </w:rPr>
        <w:fldChar w:fldCharType="begin"/>
      </w:r>
      <w:r>
        <w:rPr>
          <w:rFonts w:hint="eastAsia" w:ascii="仿宋_GB2312" w:hAnsi="仿宋_GB2312" w:eastAsia="仿宋_GB2312" w:cs="仿宋_GB2312"/>
          <w:color w:val="auto"/>
          <w:sz w:val="32"/>
          <w:szCs w:val="32"/>
          <w:lang w:val="en-US" w:eastAsia="zh-CN"/>
        </w:rPr>
        <w:instrText xml:space="preserve"> HYPERLINK "https://baike.baidu.com/item/%E5%9B%BD%E8%8D%AF%E9%9B%86%E5%9B%A2%E5%90%8C%E6%B5%8E%E5%A0%82%EF%BC%88%E8%B4%B5%E5%B7%9E%EF%BC%89%E5%88%B6%E8%8D%AF%E6%9C%89%E9%99%90%E5%85%AC%E5%8F%B8/20004451?fromModule=search-result_lemma-recommend" \t "https://baike.baidu.com/search/_blank" </w:instrText>
      </w:r>
      <w:r>
        <w:rPr>
          <w:rFonts w:hint="eastAsia" w:ascii="仿宋_GB2312" w:hAnsi="仿宋_GB2312" w:eastAsia="仿宋_GB2312" w:cs="仿宋_GB2312"/>
          <w:color w:val="auto"/>
          <w:sz w:val="32"/>
          <w:szCs w:val="32"/>
          <w:lang w:val="en-US" w:eastAsia="zh-CN"/>
        </w:rPr>
        <w:fldChar w:fldCharType="separate"/>
      </w:r>
      <w:r>
        <w:rPr>
          <w:rFonts w:hint="eastAsia" w:ascii="仿宋_GB2312" w:hAnsi="仿宋_GB2312" w:eastAsia="仿宋_GB2312" w:cs="仿宋_GB2312"/>
          <w:color w:val="auto"/>
          <w:sz w:val="32"/>
          <w:szCs w:val="32"/>
          <w:lang w:val="en-US" w:eastAsia="zh-CN"/>
        </w:rPr>
        <w:t>国药集团同济堂（贵州）制药有限公司</w:t>
      </w:r>
      <w:r>
        <w:rPr>
          <w:rFonts w:hint="eastAsia" w:ascii="仿宋_GB2312" w:hAnsi="仿宋_GB2312" w:eastAsia="仿宋_GB2312" w:cs="仿宋_GB2312"/>
          <w:color w:val="auto"/>
          <w:sz w:val="32"/>
          <w:szCs w:val="32"/>
          <w:lang w:val="en-US" w:eastAsia="zh-CN"/>
        </w:rPr>
        <w:fldChar w:fldCharType="end"/>
      </w:r>
      <w:r>
        <w:rPr>
          <w:rFonts w:hint="eastAsia" w:ascii="仿宋_GB2312" w:hAnsi="仿宋_GB2312" w:eastAsia="仿宋_GB2312" w:cs="仿宋_GB2312"/>
          <w:color w:val="auto"/>
          <w:sz w:val="32"/>
          <w:szCs w:val="32"/>
          <w:lang w:val="en-US" w:eastAsia="zh-CN"/>
        </w:rPr>
        <w:t>、贵州兴创大健康产业发展集团有限公司、贵州贵基生物医药有限公司，联合贵州大学、贵州中医药大学、黔东南州茶叶与中药材技术服务站，在雷山县、从江县开展淫羊藿品种选育、种苗繁育技术和林下仿野生栽培技术研究，通过10余年的努力集成了淫羊藿林下仿野生栽培技术。有效解决了品种优化、优质种苗供应、产量和质量不稳定、生态保护与产业发展矛盾突出等问题，同时不占农田、不抢耕地，节省了大田必需的遮荫设施，是一种兼顾生态效益和经济效益的种植技术。</w:t>
      </w:r>
    </w:p>
    <w:p>
      <w:pPr>
        <w:keepNext w:val="0"/>
        <w:keepLines w:val="0"/>
        <w:pageBreakBefore w:val="0"/>
        <w:kinsoku/>
        <w:wordWrap/>
        <w:overflowPunct/>
        <w:topLinePunct w:val="0"/>
        <w:autoSpaceDE/>
        <w:autoSpaceDN/>
        <w:bidi w:val="0"/>
        <w:snapToGrid w:val="0"/>
        <w:spacing w:line="580" w:lineRule="exact"/>
        <w:ind w:firstLine="640"/>
        <w:jc w:val="both"/>
        <w:textAlignment w:val="auto"/>
        <w:rPr>
          <w:rFonts w:ascii="Times New Roman" w:hAnsi="Times New Roman" w:eastAsia="楷体_GB2312"/>
          <w:b/>
          <w:bCs/>
          <w:color w:val="000000" w:themeColor="text1"/>
          <w:sz w:val="32"/>
          <w:szCs w:val="32"/>
          <w14:textFill>
            <w14:solidFill>
              <w14:schemeClr w14:val="tx1"/>
            </w14:solidFill>
          </w14:textFill>
        </w:rPr>
      </w:pPr>
      <w:r>
        <w:rPr>
          <w:rFonts w:ascii="Times New Roman" w:hAnsi="Times New Roman" w:eastAsia="楷体"/>
          <w:b/>
          <w:bCs/>
          <w:color w:val="000000" w:themeColor="text1"/>
          <w:sz w:val="32"/>
          <w:szCs w:val="32"/>
          <w14:textFill>
            <w14:solidFill>
              <w14:schemeClr w14:val="tx1"/>
            </w14:solidFill>
          </w14:textFill>
        </w:rPr>
        <w:t>（二）技术示范推广情况</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截至2024年底，淫羊藿林下仿野生栽培技术推广3.23万亩</w:t>
      </w:r>
      <w:bookmarkStart w:id="0" w:name="_GoBack"/>
      <w:bookmarkEnd w:id="0"/>
      <w:r>
        <w:rPr>
          <w:rFonts w:hint="eastAsia" w:ascii="仿宋_GB2312" w:hAnsi="仿宋_GB2312" w:eastAsia="仿宋_GB2312" w:cs="仿宋_GB2312"/>
          <w:color w:val="auto"/>
          <w:sz w:val="32"/>
          <w:szCs w:val="32"/>
          <w:lang w:val="en-US" w:eastAsia="zh-CN"/>
        </w:rPr>
        <w:t>。从江县平瑞林下仿野生栽培基地一年半生淫羊藿经贵州中医药大学等专家测产，平均亩产干品111.17公斤。</w:t>
      </w:r>
    </w:p>
    <w:p>
      <w:pPr>
        <w:keepNext w:val="0"/>
        <w:keepLines w:val="0"/>
        <w:pageBreakBefore w:val="0"/>
        <w:kinsoku/>
        <w:wordWrap/>
        <w:overflowPunct/>
        <w:topLinePunct w:val="0"/>
        <w:autoSpaceDE/>
        <w:autoSpaceDN/>
        <w:bidi w:val="0"/>
        <w:snapToGrid w:val="0"/>
        <w:spacing w:line="580" w:lineRule="exact"/>
        <w:ind w:firstLine="640"/>
        <w:jc w:val="both"/>
        <w:textAlignment w:val="auto"/>
        <w:rPr>
          <w:rFonts w:ascii="Times New Roman" w:hAnsi="Times New Roman" w:eastAsia="楷体_GB2312"/>
          <w:b/>
          <w:bCs/>
          <w:color w:val="000000" w:themeColor="text1"/>
          <w:sz w:val="32"/>
          <w:szCs w:val="32"/>
          <w14:textFill>
            <w14:solidFill>
              <w14:schemeClr w14:val="tx1"/>
            </w14:solidFill>
          </w14:textFill>
        </w:rPr>
      </w:pPr>
      <w:r>
        <w:rPr>
          <w:rFonts w:ascii="Times New Roman" w:hAnsi="Times New Roman" w:eastAsia="楷体"/>
          <w:b/>
          <w:bCs/>
          <w:color w:val="000000" w:themeColor="text1"/>
          <w:sz w:val="32"/>
          <w:szCs w:val="32"/>
          <w14:textFill>
            <w14:solidFill>
              <w14:schemeClr w14:val="tx1"/>
            </w14:solidFill>
          </w14:textFill>
        </w:rPr>
        <w:t>（三）提质增效情况</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 淫羊藿林下仿野生栽培，利用天然的植被优势为淫羊藿的生长提供遮荫条件，避免了大田种植必须硬性投入的遮荫设施，每亩可节省遮荫设施及其安装费用2500～3000元。</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 淫羊藿林下仿野生栽培，主要利用了林下的生物多样性，降低了大量的病虫害防控投入成本。同时，每年的5月底至10月初，是贵州少雨时间段，利用淫羊藿喜欢阴湿的环境条件，可充分利用林下杂灌草为其遮荫保湿，提供一个天然的保护环境，使淫羊藿的产量和品质得到提升。</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 淫羊藿林下仿野生栽培植，避免了与粮食争地。同时通过林下种植，降低干热季节的火灾隐患。</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ascii="Times New Roman" w:hAnsi="Times New Roman" w:eastAsia="楷体_GB2312"/>
          <w:b/>
          <w:color w:val="000000" w:themeColor="text1"/>
          <w:sz w:val="32"/>
          <w:szCs w:val="32"/>
          <w14:textFill>
            <w14:solidFill>
              <w14:schemeClr w14:val="tx1"/>
            </w14:solidFill>
          </w14:textFill>
        </w:rPr>
      </w:pPr>
      <w:r>
        <w:rPr>
          <w:rFonts w:ascii="Times New Roman" w:hAnsi="Times New Roman" w:eastAsia="楷体"/>
          <w:b/>
          <w:color w:val="000000" w:themeColor="text1"/>
          <w:sz w:val="32"/>
          <w:szCs w:val="32"/>
          <w14:textFill>
            <w14:solidFill>
              <w14:schemeClr w14:val="tx1"/>
            </w14:solidFill>
          </w14:textFill>
        </w:rPr>
        <w:t>（四）技术获奖情况</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中药材箭叶淫羊藿良种“黔藿1号”林下半仿生种植技术获得了黔东南州2022年度重点科技创新成果。</w:t>
      </w:r>
    </w:p>
    <w:p>
      <w:pPr>
        <w:keepNext w:val="0"/>
        <w:keepLines w:val="0"/>
        <w:pageBreakBefore w:val="0"/>
        <w:kinsoku/>
        <w:wordWrap/>
        <w:overflowPunct/>
        <w:topLinePunct w:val="0"/>
        <w:autoSpaceDE/>
        <w:autoSpaceDN/>
        <w:bidi w:val="0"/>
        <w:snapToGrid w:val="0"/>
        <w:spacing w:line="580" w:lineRule="exact"/>
        <w:ind w:firstLine="640" w:firstLineChars="200"/>
        <w:jc w:val="both"/>
        <w:textAlignment w:val="auto"/>
        <w:rPr>
          <w:rFonts w:ascii="Times New Roman" w:hAnsi="Times New Roman" w:eastAsia="黑体"/>
          <w:color w:val="000000" w:themeColor="text1"/>
          <w:sz w:val="32"/>
          <w:szCs w:val="32"/>
          <w14:textFill>
            <w14:solidFill>
              <w14:schemeClr w14:val="tx1"/>
            </w14:solidFill>
          </w14:textFill>
        </w:rPr>
      </w:pPr>
      <w:r>
        <w:rPr>
          <w:rFonts w:ascii="Times New Roman" w:hAnsi="Times New Roman" w:eastAsia="黑体"/>
          <w:color w:val="000000" w:themeColor="text1"/>
          <w:sz w:val="32"/>
          <w:szCs w:val="32"/>
          <w14:textFill>
            <w14:solidFill>
              <w14:schemeClr w14:val="tx1"/>
            </w14:solidFill>
          </w14:textFill>
        </w:rPr>
        <w:t>二、技术要点</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000000" w:themeColor="text1"/>
          <w:sz w:val="32"/>
          <w:szCs w:val="32"/>
          <w:lang w:val="en-US" w:eastAsia="zh-CN"/>
          <w14:textFill>
            <w14:solidFill>
              <w14:schemeClr w14:val="tx1"/>
            </w14:solidFill>
          </w14:textFill>
        </w:rPr>
      </w:pPr>
      <w:r>
        <w:rPr>
          <w:rFonts w:hint="eastAsia" w:ascii="楷体_GB2312" w:hAnsi="楷体_GB2312" w:eastAsia="楷体_GB2312" w:cs="楷体_GB2312"/>
          <w:b/>
          <w:bCs w:val="0"/>
          <w:color w:val="000000" w:themeColor="text1"/>
          <w:sz w:val="32"/>
          <w:szCs w:val="32"/>
          <w:lang w:val="en-US" w:eastAsia="zh-CN"/>
          <w14:textFill>
            <w14:solidFill>
              <w14:schemeClr w14:val="tx1"/>
            </w14:solidFill>
          </w14:textFill>
        </w:rPr>
        <w:t>（一）栽培条件</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淫羊藿适宜温暖湿润气候，喜阴凉环境，忌强光直射和高温干燥。适宜海拔300～1500米，土壤深厚、疏松肥沃、微酸性的</w:t>
      </w:r>
      <w:r>
        <w:rPr>
          <w:rFonts w:hint="eastAsia" w:ascii="仿宋_GB2312" w:hAnsi="仿宋_GB2312" w:eastAsia="仿宋_GB2312" w:cs="仿宋_GB2312"/>
          <w:color w:val="auto"/>
          <w:sz w:val="32"/>
          <w:szCs w:val="32"/>
          <w:lang w:val="en-US" w:eastAsia="zh-CN"/>
        </w:rPr>
        <w:fldChar w:fldCharType="begin"/>
      </w:r>
      <w:r>
        <w:rPr>
          <w:rFonts w:hint="eastAsia" w:ascii="仿宋_GB2312" w:hAnsi="仿宋_GB2312" w:eastAsia="仿宋_GB2312" w:cs="仿宋_GB2312"/>
          <w:color w:val="auto"/>
          <w:sz w:val="32"/>
          <w:szCs w:val="32"/>
          <w:lang w:val="en-US" w:eastAsia="zh-CN"/>
        </w:rPr>
        <w:instrText xml:space="preserve"> HYPERLINK "https://baike.so.com/doc/4177224-4377642.html" \t "https://baike.so.com/doc/_blank" </w:instrText>
      </w:r>
      <w:r>
        <w:rPr>
          <w:rFonts w:hint="eastAsia" w:ascii="仿宋_GB2312" w:hAnsi="仿宋_GB2312" w:eastAsia="仿宋_GB2312" w:cs="仿宋_GB2312"/>
          <w:color w:val="auto"/>
          <w:sz w:val="32"/>
          <w:szCs w:val="32"/>
          <w:lang w:val="en-US" w:eastAsia="zh-CN"/>
        </w:rPr>
        <w:fldChar w:fldCharType="separate"/>
      </w:r>
      <w:r>
        <w:rPr>
          <w:rFonts w:hint="eastAsia" w:ascii="仿宋_GB2312" w:hAnsi="仿宋_GB2312" w:eastAsia="仿宋_GB2312" w:cs="仿宋_GB2312"/>
          <w:color w:val="auto"/>
          <w:sz w:val="32"/>
          <w:szCs w:val="32"/>
          <w:lang w:val="en-US" w:eastAsia="zh-CN"/>
        </w:rPr>
        <w:t>砂壤土</w:t>
      </w:r>
      <w:r>
        <w:rPr>
          <w:rFonts w:hint="eastAsia" w:ascii="仿宋_GB2312" w:hAnsi="仿宋_GB2312" w:eastAsia="仿宋_GB2312" w:cs="仿宋_GB2312"/>
          <w:color w:val="auto"/>
          <w:sz w:val="32"/>
          <w:szCs w:val="32"/>
          <w:lang w:val="en-US" w:eastAsia="zh-CN"/>
        </w:rPr>
        <w:fldChar w:fldCharType="end"/>
      </w:r>
      <w:r>
        <w:rPr>
          <w:rFonts w:hint="eastAsia" w:ascii="仿宋_GB2312" w:hAnsi="仿宋_GB2312" w:eastAsia="仿宋_GB2312" w:cs="仿宋_GB2312"/>
          <w:color w:val="auto"/>
          <w:sz w:val="32"/>
          <w:szCs w:val="32"/>
          <w:lang w:val="en-US" w:eastAsia="zh-CN"/>
        </w:rPr>
        <w:t>。</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000000" w:themeColor="text1"/>
          <w:sz w:val="32"/>
          <w:szCs w:val="32"/>
          <w:lang w:val="en-US" w:eastAsia="zh-CN"/>
          <w14:textFill>
            <w14:solidFill>
              <w14:schemeClr w14:val="tx1"/>
            </w14:solidFill>
          </w14:textFill>
        </w:rPr>
      </w:pPr>
      <w:r>
        <w:rPr>
          <w:rFonts w:hint="eastAsia" w:ascii="楷体_GB2312" w:hAnsi="楷体_GB2312" w:eastAsia="楷体_GB2312" w:cs="楷体_GB2312"/>
          <w:b/>
          <w:bCs w:val="0"/>
          <w:color w:val="000000" w:themeColor="text1"/>
          <w:sz w:val="32"/>
          <w:szCs w:val="32"/>
          <w14:textFill>
            <w14:solidFill>
              <w14:schemeClr w14:val="tx1"/>
            </w14:solidFill>
          </w14:textFill>
        </w:rPr>
        <w:t>（</w:t>
      </w:r>
      <w:r>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t>二</w:t>
      </w:r>
      <w:r>
        <w:rPr>
          <w:rFonts w:hint="eastAsia" w:ascii="楷体_GB2312" w:hAnsi="楷体_GB2312" w:eastAsia="楷体_GB2312" w:cs="楷体_GB2312"/>
          <w:b/>
          <w:bCs w:val="0"/>
          <w:color w:val="000000" w:themeColor="text1"/>
          <w:sz w:val="32"/>
          <w:szCs w:val="32"/>
          <w14:textFill>
            <w14:solidFill>
              <w14:schemeClr w14:val="tx1"/>
            </w14:solidFill>
          </w14:textFill>
        </w:rPr>
        <w:t>）</w:t>
      </w:r>
      <w:r>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t>基地</w:t>
      </w:r>
      <w:r>
        <w:rPr>
          <w:rFonts w:hint="eastAsia" w:ascii="楷体_GB2312" w:hAnsi="楷体_GB2312" w:eastAsia="楷体_GB2312" w:cs="楷体_GB2312"/>
          <w:b/>
          <w:bCs w:val="0"/>
          <w:color w:val="000000" w:themeColor="text1"/>
          <w:sz w:val="32"/>
          <w:szCs w:val="32"/>
          <w:lang w:val="en-US" w:eastAsia="zh-CN"/>
          <w14:textFill>
            <w14:solidFill>
              <w14:schemeClr w14:val="tx1"/>
            </w14:solidFill>
          </w14:textFill>
        </w:rPr>
        <w:t>选择</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选择交通便利，植被为阔叶林或混交林（以阔叶树种为主），郁闭度在0.4～0.7，且林下土层须达到0.5米及以上，坡度小于30度，富含腐殖质的林地。</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auto"/>
          <w:sz w:val="32"/>
          <w:szCs w:val="32"/>
          <w:lang w:val="en-US" w:eastAsia="zh-CN"/>
        </w:rPr>
      </w:pPr>
      <w:r>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t>（三）整地</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sz w:val="32"/>
          <w:szCs w:val="32"/>
        </w:rPr>
      </w:pPr>
      <w:r>
        <w:rPr>
          <w:rFonts w:hint="eastAsia" w:ascii="仿宋_GB2312" w:hAnsi="仿宋_GB2312" w:eastAsia="仿宋_GB2312" w:cs="仿宋_GB2312"/>
          <w:color w:val="auto"/>
          <w:sz w:val="32"/>
          <w:szCs w:val="32"/>
          <w:lang w:val="en-US" w:eastAsia="zh-CN"/>
        </w:rPr>
        <w:t>初冬清除种植基地杂物，将种植地块翻耕1次，翻耕深度20 cm以上，亩施入腐熟农家肥2000～2500kg或商品有机肥200～250 kg+50 kg钙镁磷肥作底肥+</w:t>
      </w:r>
      <w:r>
        <w:rPr>
          <w:rFonts w:hint="eastAsia" w:ascii="仿宋_GB2312" w:hAnsi="仿宋_GB2312" w:eastAsia="仿宋_GB2312" w:cs="仿宋_GB2312"/>
          <w:sz w:val="32"/>
          <w:szCs w:val="32"/>
        </w:rPr>
        <w:t>2亿孢子/克金龟子绿僵菌颗粒剂</w:t>
      </w: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千克</w:t>
      </w:r>
      <w:r>
        <w:rPr>
          <w:rFonts w:hint="eastAsia" w:ascii="仿宋_GB2312" w:hAnsi="仿宋_GB2312" w:eastAsia="仿宋_GB2312" w:cs="仿宋_GB2312"/>
          <w:color w:val="auto"/>
          <w:sz w:val="32"/>
          <w:szCs w:val="32"/>
          <w:lang w:val="en-US" w:eastAsia="zh-CN"/>
        </w:rPr>
        <w:t>。起厢种植，厢高25～30 cm、厢宽1.2～1.5 m、厢距40 cm左右，厢长视地块而定。在整理好的厢面上可铺20cm×30cm开穴的防草布防止草害，防草布四周用土压实。</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t>（四）移栽适期与方法</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移栽一般在3～4月和10～11月，起苗时带土，起苗后及时移栽，未及时移栽的应进行假植。按照株行距20 cm×30 cm定植，每亩种植6000～8000株，可根据立地条件、林分状况等情况适当调整。将淫羊藿苗的根系展开，放入穴中间，用细土填埋至根际处，再将苗向上轻提一下，以便根系舒展，最后用细土填埋至根际处并压实。未铺防草布的地块，有条件的可在厢面上铺3～5cm的落叶来防止草害。及时拔除死苗、弱苗、病苗，选择阴天及时补苗种植。</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t>（五）田间管理</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1.中耕除草</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移栽至采收前视草害情况，人工除草1～2次。除草工作应掌握“宜早宜小”原则，晴天可配合中耕连根拔除杂草。</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2.注意排灌</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若持续干旱，视淫羊藿叶片萎蔫情况，在上午10时前或下午5点后浇水1次。地势低洼的地区，遇到积水时要及时排水。</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3.松土追肥</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淫羊藿生长过程中，每年追肥两次。其追肥时间可分为两个时期，第一时期：3～4月新芽出土后是淫羊藿生长的关键时期， 应结合除草松土，及时追施提苗肥。第二时期： 9～10月收割后应结合清园松土补施促芽肥。施肥方法为结合松土将肥料施入根部周边。提苗肥以复合肥或沼液为主，复合肥每亩15kg或沼液每亩施1500kg。采收后施促芽肥：每亩施腐熟厩肥1500～2000kg 或每亩有机复合肥20～25 kg。</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4.病虫害防控</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淫羊藿的主要病害有：叶褐斑枯病、炭疽病、皱缩病毒病、白粉病、锈病等；常见虫害短额负蝗、尺蠖、舟形毛虫、金针虫、蝼蛄、蛴螬等。防治时遵循“预防为主，综合防治”的植保方针，加强植物检疫（执行国家植物检疫法规的检疫检验规定），选用无检疫性有害生物的种苗。采用农业、化学、物理、生物防治方法将病虫害控制在允许范围内。严格禁止剧毒、高毒、高残留和三致农药品种以及复配剂。</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pPr>
      <w:r>
        <w:rPr>
          <w:rFonts w:hint="eastAsia" w:ascii="楷体_GB2312" w:hAnsi="楷体_GB2312" w:eastAsia="楷体_GB2312" w:cs="楷体_GB2312"/>
          <w:b/>
          <w:bCs w:val="0"/>
          <w:color w:val="000000" w:themeColor="text1"/>
          <w:sz w:val="32"/>
          <w:szCs w:val="32"/>
          <w:lang w:eastAsia="zh-CN"/>
          <w14:textFill>
            <w14:solidFill>
              <w14:schemeClr w14:val="tx1"/>
            </w14:solidFill>
          </w14:textFill>
        </w:rPr>
        <w:t>（六）采收与产地初加工</w:t>
      </w:r>
    </w:p>
    <w:p>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105" w:beforeAutospacing="0" w:after="105" w:afterAutospacing="0" w:line="580" w:lineRule="exact"/>
        <w:ind w:right="0"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一般在6～10月选择晴天采收，用镰刀割取地上部分，割取时要注意护根固土。及时进行产地初加工，去掉鲜药材表面泥土或其他杂物。晒干或烘干，烘干时温度控制在60℃左右，药材含水量控制在10%以下，及时用防潮袋包装贮藏。</w:t>
      </w:r>
    </w:p>
    <w:p>
      <w:pPr>
        <w:keepNext w:val="0"/>
        <w:keepLines w:val="0"/>
        <w:pageBreakBefore w:val="0"/>
        <w:kinsoku/>
        <w:wordWrap/>
        <w:overflowPunct/>
        <w:topLinePunct w:val="0"/>
        <w:autoSpaceDE/>
        <w:autoSpaceDN/>
        <w:bidi w:val="0"/>
        <w:snapToGrid w:val="0"/>
        <w:spacing w:line="580" w:lineRule="exact"/>
        <w:ind w:firstLine="642" w:firstLineChars="200"/>
        <w:jc w:val="both"/>
        <w:textAlignment w:val="auto"/>
        <w:rPr>
          <w:rFonts w:hint="eastAsia" w:ascii="楷体_GB2312" w:hAnsi="楷体_GB2312" w:eastAsia="楷体_GB2312" w:cs="楷体_GB2312"/>
          <w:b/>
          <w:bCs w:val="0"/>
          <w:color w:val="000000" w:themeColor="text1"/>
          <w:sz w:val="32"/>
          <w:szCs w:val="32"/>
          <w:lang w:val="en-US" w:eastAsia="zh-CN"/>
          <w14:textFill>
            <w14:solidFill>
              <w14:schemeClr w14:val="tx1"/>
            </w14:solidFill>
          </w14:textFill>
        </w:rPr>
      </w:pPr>
      <w:r>
        <w:rPr>
          <w:rFonts w:hint="eastAsia" w:ascii="楷体_GB2312" w:hAnsi="楷体_GB2312" w:eastAsia="楷体_GB2312" w:cs="楷体_GB2312"/>
          <w:b/>
          <w:bCs w:val="0"/>
          <w:color w:val="000000" w:themeColor="text1"/>
          <w:sz w:val="32"/>
          <w:szCs w:val="32"/>
          <w:lang w:val="en-US" w:eastAsia="zh-CN"/>
          <w14:textFill>
            <w14:solidFill>
              <w14:schemeClr w14:val="tx1"/>
            </w14:solidFill>
          </w14:textFill>
        </w:rPr>
        <w:t>（七）资料记录与档案管理</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按照国家药监局、农业农村部、国家林草局、国家中医药局发布的《中药材生产质量管理规范》要求，根据影响淫羊藿质量的关键环节，结合管理实际，做好生产记录与档案管理。</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1、按生产单元进行记录，覆盖生产过程的主要环节，附必要照片或者图像，保证可追溯；</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种植主要记录：种子种苗来源及鉴定，种子处理，播种或移栽、定植时间及面积；肥料种类、施用时间、施用量、施用方法；重大病虫草害等的发生时间、危害程度，施用农药名称、来源、施用量、施用时间、方法和施用人等；灌溉时间、方法及灌水量；重大气候灾害发生时间、危害情况；主要物候期。</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3、采收加工主要记录：采收时间及方法；临时存放措施及时间；拣选及去除非药用部位方式；清洗时间；干燥方法和温度；特殊加工手段等关键因素。</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4、包装及储运记录：包装时间；入库时间；库温度、湿度；除虫除霉时间及方法；出库时间及去向；运输条件等。</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所有基础资料、生产管理类记录及销售资料均应存档，保存期为相应批次淫羊藿产品出库后3年以上。</w:t>
      </w:r>
    </w:p>
    <w:p>
      <w:pPr>
        <w:keepNext w:val="0"/>
        <w:keepLines w:val="0"/>
        <w:pageBreakBefore w:val="0"/>
        <w:kinsoku/>
        <w:wordWrap/>
        <w:overflowPunct/>
        <w:topLinePunct w:val="0"/>
        <w:autoSpaceDE/>
        <w:autoSpaceDN/>
        <w:bidi w:val="0"/>
        <w:adjustRightInd w:val="0"/>
        <w:snapToGrid w:val="0"/>
        <w:spacing w:line="580" w:lineRule="exact"/>
        <w:ind w:firstLine="640"/>
        <w:jc w:val="both"/>
        <w:textAlignment w:val="auto"/>
        <w:rPr>
          <w:rFonts w:hint="eastAsia" w:ascii="Times New Roman" w:hAnsi="Times New Roman" w:eastAsia="黑体"/>
          <w:color w:val="000000" w:themeColor="text1"/>
          <w:sz w:val="32"/>
          <w:szCs w:val="32"/>
          <w14:textFill>
            <w14:solidFill>
              <w14:schemeClr w14:val="tx1"/>
            </w14:solidFill>
          </w14:textFill>
        </w:rPr>
      </w:pPr>
      <w:r>
        <w:rPr>
          <w:rFonts w:ascii="Times New Roman" w:hAnsi="Times New Roman" w:eastAsia="黑体"/>
          <w:color w:val="000000" w:themeColor="text1"/>
          <w:sz w:val="32"/>
          <w:szCs w:val="32"/>
          <w14:textFill>
            <w14:solidFill>
              <w14:schemeClr w14:val="tx1"/>
            </w14:solidFill>
          </w14:textFill>
        </w:rPr>
        <w:t>三、适宜区域</w:t>
      </w:r>
    </w:p>
    <w:p>
      <w:pPr>
        <w:keepNext w:val="0"/>
        <w:keepLines w:val="0"/>
        <w:pageBreakBefore w:val="0"/>
        <w:widowControl/>
        <w:suppressLineNumbers w:val="0"/>
        <w:kinsoku/>
        <w:wordWrap/>
        <w:overflowPunct/>
        <w:topLinePunct w:val="0"/>
        <w:autoSpaceDE/>
        <w:autoSpaceDN/>
        <w:bidi w:val="0"/>
        <w:spacing w:line="580" w:lineRule="exact"/>
        <w:ind w:firstLine="640" w:firstLineChars="200"/>
        <w:jc w:val="both"/>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适宜海拔300～1500米，土壤深厚、疏松肥沃、微酸性的</w:t>
      </w:r>
      <w:r>
        <w:rPr>
          <w:rFonts w:hint="eastAsia" w:ascii="仿宋_GB2312" w:hAnsi="仿宋_GB2312" w:eastAsia="仿宋_GB2312" w:cs="仿宋_GB2312"/>
          <w:color w:val="auto"/>
          <w:sz w:val="32"/>
          <w:szCs w:val="32"/>
          <w:lang w:val="en-US" w:eastAsia="zh-CN"/>
        </w:rPr>
        <w:fldChar w:fldCharType="begin"/>
      </w:r>
      <w:r>
        <w:rPr>
          <w:rFonts w:hint="eastAsia" w:ascii="仿宋_GB2312" w:hAnsi="仿宋_GB2312" w:eastAsia="仿宋_GB2312" w:cs="仿宋_GB2312"/>
          <w:color w:val="auto"/>
          <w:sz w:val="32"/>
          <w:szCs w:val="32"/>
          <w:lang w:val="en-US" w:eastAsia="zh-CN"/>
        </w:rPr>
        <w:instrText xml:space="preserve"> HYPERLINK "https://baike.so.com/doc/4177224-4377642.html" \t "https://baike.so.com/doc/_blank" </w:instrText>
      </w:r>
      <w:r>
        <w:rPr>
          <w:rFonts w:hint="eastAsia" w:ascii="仿宋_GB2312" w:hAnsi="仿宋_GB2312" w:eastAsia="仿宋_GB2312" w:cs="仿宋_GB2312"/>
          <w:color w:val="auto"/>
          <w:sz w:val="32"/>
          <w:szCs w:val="32"/>
          <w:lang w:val="en-US" w:eastAsia="zh-CN"/>
        </w:rPr>
        <w:fldChar w:fldCharType="separate"/>
      </w:r>
      <w:r>
        <w:rPr>
          <w:rFonts w:hint="eastAsia" w:ascii="仿宋_GB2312" w:hAnsi="仿宋_GB2312" w:eastAsia="仿宋_GB2312" w:cs="仿宋_GB2312"/>
          <w:color w:val="auto"/>
          <w:sz w:val="32"/>
          <w:szCs w:val="32"/>
          <w:lang w:val="en-US" w:eastAsia="zh-CN"/>
        </w:rPr>
        <w:t>砂壤土</w:t>
      </w:r>
      <w:r>
        <w:rPr>
          <w:rFonts w:hint="eastAsia" w:ascii="仿宋_GB2312" w:hAnsi="仿宋_GB2312" w:eastAsia="仿宋_GB2312" w:cs="仿宋_GB2312"/>
          <w:color w:val="auto"/>
          <w:sz w:val="32"/>
          <w:szCs w:val="32"/>
          <w:lang w:val="en-US" w:eastAsia="zh-CN"/>
        </w:rPr>
        <w:fldChar w:fldCharType="end"/>
      </w:r>
      <w:r>
        <w:rPr>
          <w:rFonts w:hint="eastAsia" w:ascii="仿宋_GB2312" w:hAnsi="仿宋_GB2312" w:eastAsia="仿宋_GB2312" w:cs="仿宋_GB2312"/>
          <w:color w:val="auto"/>
          <w:sz w:val="32"/>
          <w:szCs w:val="32"/>
          <w:lang w:val="en-US" w:eastAsia="zh-CN"/>
        </w:rPr>
        <w:t>，以阔叶林或混交林（以阔叶树种为主）种植最佳。</w:t>
      </w:r>
    </w:p>
    <w:p>
      <w:pPr>
        <w:keepNext w:val="0"/>
        <w:keepLines w:val="0"/>
        <w:pageBreakBefore w:val="0"/>
        <w:kinsoku/>
        <w:wordWrap/>
        <w:overflowPunct/>
        <w:topLinePunct w:val="0"/>
        <w:autoSpaceDE/>
        <w:autoSpaceDN/>
        <w:bidi w:val="0"/>
        <w:adjustRightInd w:val="0"/>
        <w:snapToGrid w:val="0"/>
        <w:spacing w:line="580" w:lineRule="exact"/>
        <w:ind w:firstLine="640"/>
        <w:jc w:val="both"/>
        <w:textAlignment w:val="auto"/>
        <w:rPr>
          <w:rFonts w:hint="eastAsia"/>
          <w:sz w:val="32"/>
          <w:szCs w:val="32"/>
        </w:rPr>
      </w:pPr>
      <w:r>
        <w:rPr>
          <w:rFonts w:ascii="Times New Roman" w:hAnsi="Times New Roman" w:eastAsia="黑体"/>
          <w:color w:val="000000" w:themeColor="text1"/>
          <w:sz w:val="32"/>
          <w:szCs w:val="32"/>
          <w14:textFill>
            <w14:solidFill>
              <w14:schemeClr w14:val="tx1"/>
            </w14:solidFill>
          </w14:textFill>
        </w:rPr>
        <w:t>四、注意事项</w:t>
      </w:r>
      <w:r>
        <w:rPr>
          <w:rFonts w:hint="eastAsia" w:ascii="Times New Roman" w:hAnsi="Times New Roman" w:eastAsia="黑体"/>
          <w:color w:val="000000" w:themeColor="text1"/>
          <w:sz w:val="32"/>
          <w:szCs w:val="32"/>
          <w14:textFill>
            <w14:solidFill>
              <w14:schemeClr w14:val="tx1"/>
            </w14:solidFill>
          </w14:textFill>
        </w:rPr>
        <w:t>（在技术推广应用过程中需特别注意的环节）</w:t>
      </w:r>
    </w:p>
    <w:p>
      <w:pPr>
        <w:keepNext w:val="0"/>
        <w:keepLines w:val="0"/>
        <w:pageBreakBefore w:val="0"/>
        <w:kinsoku/>
        <w:wordWrap/>
        <w:overflowPunct/>
        <w:topLinePunct w:val="0"/>
        <w:autoSpaceDE/>
        <w:autoSpaceDN/>
        <w:bidi w:val="0"/>
        <w:spacing w:line="580" w:lineRule="exact"/>
        <w:ind w:firstLine="640" w:firstLineChars="200"/>
        <w:textAlignment w:val="auto"/>
        <w:rPr>
          <w:rFonts w:hint="eastAsia"/>
          <w:sz w:val="32"/>
          <w:szCs w:val="32"/>
        </w:rPr>
      </w:pPr>
      <w:r>
        <w:rPr>
          <w:rFonts w:hint="eastAsia" w:ascii="仿宋_GB2312" w:hAnsi="仿宋_GB2312" w:eastAsia="仿宋_GB2312" w:cs="仿宋_GB2312"/>
          <w:color w:val="auto"/>
          <w:sz w:val="32"/>
          <w:szCs w:val="32"/>
          <w:lang w:val="en-US" w:eastAsia="zh-CN"/>
        </w:rPr>
        <w:t>品种要符合2020版《中国药典》，优先选用贵州省审（认定）品种。选择林地郁闭度在0.4～0.7，以保证合适的遮光。根据立地条件、林分状况适当增加密度，以提高产量。异地调苗要提供植物检疫证，阻断检疫性病虫害的传播。</w:t>
      </w:r>
    </w:p>
    <w:p>
      <w:pPr>
        <w:keepNext w:val="0"/>
        <w:keepLines w:val="0"/>
        <w:pageBreakBefore w:val="0"/>
        <w:kinsoku/>
        <w:wordWrap/>
        <w:overflowPunct/>
        <w:topLinePunct w:val="0"/>
        <w:autoSpaceDE/>
        <w:autoSpaceDN/>
        <w:bidi w:val="0"/>
        <w:snapToGrid w:val="0"/>
        <w:spacing w:line="580" w:lineRule="exact"/>
        <w:ind w:firstLine="640" w:firstLineChars="200"/>
        <w:jc w:val="both"/>
        <w:textAlignment w:val="auto"/>
        <w:rPr>
          <w:rFonts w:ascii="Times New Roman" w:hAnsi="Times New Roman" w:eastAsia="黑体"/>
          <w:color w:val="000000" w:themeColor="text1"/>
          <w:sz w:val="32"/>
          <w:szCs w:val="32"/>
          <w14:textFill>
            <w14:solidFill>
              <w14:schemeClr w14:val="tx1"/>
            </w14:solidFill>
          </w14:textFill>
        </w:rPr>
      </w:pPr>
      <w:r>
        <w:rPr>
          <w:rFonts w:ascii="Times New Roman" w:hAnsi="Times New Roman" w:eastAsia="黑体"/>
          <w:color w:val="000000" w:themeColor="text1"/>
          <w:sz w:val="32"/>
          <w:szCs w:val="32"/>
          <w14:textFill>
            <w14:solidFill>
              <w14:schemeClr w14:val="tx1"/>
            </w14:solidFill>
          </w14:textFill>
        </w:rPr>
        <w:t>五、技术依托单位</w:t>
      </w:r>
    </w:p>
    <w:p>
      <w:pPr>
        <w:keepNext w:val="0"/>
        <w:keepLines w:val="0"/>
        <w:pageBreakBefore w:val="0"/>
        <w:kinsoku/>
        <w:wordWrap/>
        <w:overflowPunct/>
        <w:topLinePunct w:val="0"/>
        <w:autoSpaceDE/>
        <w:autoSpaceDN/>
        <w:bidi w:val="0"/>
        <w:spacing w:line="58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黔东南州农业农村局</w:t>
      </w:r>
    </w:p>
    <w:p>
      <w:pPr>
        <w:keepNext w:val="0"/>
        <w:keepLines w:val="0"/>
        <w:pageBreakBefore w:val="0"/>
        <w:kinsoku/>
        <w:wordWrap/>
        <w:overflowPunct/>
        <w:topLinePunct w:val="0"/>
        <w:autoSpaceDE/>
        <w:autoSpaceDN/>
        <w:bidi w:val="0"/>
        <w:spacing w:line="58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黔东南州茶叶与中药材技术服务站</w:t>
      </w:r>
    </w:p>
    <w:p>
      <w:pPr>
        <w:keepNext w:val="0"/>
        <w:keepLines w:val="0"/>
        <w:pageBreakBefore w:val="0"/>
        <w:kinsoku/>
        <w:wordWrap/>
        <w:overflowPunct/>
        <w:topLinePunct w:val="0"/>
        <w:autoSpaceDE/>
        <w:autoSpaceDN/>
        <w:bidi w:val="0"/>
        <w:spacing w:line="58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联系地址：黔东南州凯里市环城北路54号</w:t>
      </w:r>
    </w:p>
    <w:p>
      <w:pPr>
        <w:keepNext w:val="0"/>
        <w:keepLines w:val="0"/>
        <w:pageBreakBefore w:val="0"/>
        <w:kinsoku/>
        <w:wordWrap/>
        <w:overflowPunct/>
        <w:topLinePunct w:val="0"/>
        <w:autoSpaceDE/>
        <w:autoSpaceDN/>
        <w:bidi w:val="0"/>
        <w:spacing w:line="580" w:lineRule="exact"/>
        <w:ind w:firstLine="640" w:firstLineChars="200"/>
        <w:textAlignment w:val="auto"/>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联 系 人：杨秀全</w:t>
      </w:r>
    </w:p>
    <w:p>
      <w:pPr>
        <w:keepNext w:val="0"/>
        <w:keepLines w:val="0"/>
        <w:pageBreakBefore w:val="0"/>
        <w:kinsoku/>
        <w:wordWrap/>
        <w:overflowPunct/>
        <w:topLinePunct w:val="0"/>
        <w:autoSpaceDE/>
        <w:autoSpaceDN/>
        <w:bidi w:val="0"/>
        <w:spacing w:line="580" w:lineRule="exact"/>
        <w:ind w:firstLine="640" w:firstLineChars="200"/>
        <w:textAlignment w:val="auto"/>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联系电话：0855-8509765</w:t>
      </w:r>
    </w:p>
    <w:p>
      <w:pPr>
        <w:jc w:val="both"/>
        <w:rPr>
          <w:rFonts w:hint="eastAsia" w:eastAsiaTheme="minorEastAsia"/>
          <w:lang w:eastAsia="zh-CN"/>
        </w:rPr>
      </w:pPr>
    </w:p>
    <w:p>
      <w:pPr>
        <w:jc w:val="both"/>
      </w:pPr>
      <w:r>
        <w:rPr>
          <w:rFonts w:hint="default"/>
          <w:lang w:val="en-US" w:eastAsia="zh-CN"/>
        </w:rPr>
        <w:drawing>
          <wp:inline distT="0" distB="0" distL="114300" distR="114300">
            <wp:extent cx="5266690" cy="3750310"/>
            <wp:effectExtent l="0" t="0" r="10160" b="2540"/>
            <wp:docPr id="14" name="图片 14" descr="1d39e169050c2e29d9dd4c235005d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d39e169050c2e29d9dd4c235005d80"/>
                    <pic:cNvPicPr>
                      <a:picLocks noChangeAspect="1"/>
                    </pic:cNvPicPr>
                  </pic:nvPicPr>
                  <pic:blipFill>
                    <a:blip r:embed="rId5"/>
                    <a:stretch>
                      <a:fillRect/>
                    </a:stretch>
                  </pic:blipFill>
                  <pic:spPr>
                    <a:xfrm>
                      <a:off x="0" y="0"/>
                      <a:ext cx="5266690" cy="3750310"/>
                    </a:xfrm>
                    <a:prstGeom prst="rect">
                      <a:avLst/>
                    </a:prstGeom>
                  </pic:spPr>
                </pic:pic>
              </a:graphicData>
            </a:graphic>
          </wp:inline>
        </w:drawing>
      </w:r>
    </w:p>
    <w:p>
      <w:pPr>
        <w:jc w:val="both"/>
        <w:rPr>
          <w:rFonts w:hint="eastAsia" w:ascii="仿宋_GB2312" w:hAnsi="仿宋_GB2312" w:eastAsia="仿宋_GB2312" w:cs="仿宋_GB2312"/>
          <w:color w:val="auto"/>
          <w:sz w:val="24"/>
          <w:szCs w:val="24"/>
          <w:lang w:val="en-US" w:eastAsia="zh-CN"/>
        </w:rPr>
      </w:pPr>
      <w:r>
        <w:rPr>
          <w:rFonts w:hint="eastAsia" w:ascii="仿宋_GB2312" w:hAnsi="仿宋_GB2312" w:eastAsia="仿宋_GB2312" w:cs="仿宋_GB2312"/>
          <w:color w:val="auto"/>
          <w:sz w:val="24"/>
          <w:szCs w:val="24"/>
          <w:lang w:val="en-US" w:eastAsia="zh-CN"/>
        </w:rPr>
        <w:t>图解：清理后的林地松软，并通过人工作业，打坑并施有机肥和磷肥等肥料。</w:t>
      </w:r>
    </w:p>
    <w:p>
      <w:pPr>
        <w:jc w:val="both"/>
        <w:rPr>
          <w:rFonts w:hint="eastAsia" w:ascii="仿宋_GB2312" w:hAnsi="仿宋_GB2312" w:eastAsia="仿宋_GB2312" w:cs="仿宋_GB2312"/>
          <w:color w:val="auto"/>
          <w:sz w:val="24"/>
          <w:szCs w:val="24"/>
          <w:lang w:val="en-US" w:eastAsia="zh-CN"/>
        </w:rPr>
      </w:pPr>
    </w:p>
    <w:p>
      <w:pPr>
        <w:jc w:val="both"/>
      </w:pPr>
      <w:r>
        <w:drawing>
          <wp:inline distT="0" distB="0" distL="114300" distR="114300">
            <wp:extent cx="5268595" cy="3921760"/>
            <wp:effectExtent l="0" t="0" r="8255" b="2540"/>
            <wp:docPr id="1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pic:cNvPicPr>
                      <a:picLocks noChangeAspect="1"/>
                    </pic:cNvPicPr>
                  </pic:nvPicPr>
                  <pic:blipFill>
                    <a:blip r:embed="rId6"/>
                    <a:stretch>
                      <a:fillRect/>
                    </a:stretch>
                  </pic:blipFill>
                  <pic:spPr>
                    <a:xfrm>
                      <a:off x="0" y="0"/>
                      <a:ext cx="5268595" cy="3921760"/>
                    </a:xfrm>
                    <a:prstGeom prst="rect">
                      <a:avLst/>
                    </a:prstGeom>
                    <a:noFill/>
                    <a:ln>
                      <a:noFill/>
                    </a:ln>
                  </pic:spPr>
                </pic:pic>
              </a:graphicData>
            </a:graphic>
          </wp:inline>
        </w:drawing>
      </w:r>
    </w:p>
    <w:p>
      <w:pPr>
        <w:jc w:val="both"/>
        <w:rPr>
          <w:rFonts w:hint="eastAsia" w:ascii="仿宋_GB2312" w:hAnsi="仿宋_GB2312" w:eastAsia="仿宋_GB2312" w:cs="仿宋_GB2312"/>
          <w:color w:val="auto"/>
          <w:sz w:val="24"/>
          <w:szCs w:val="24"/>
          <w:lang w:val="en-US" w:eastAsia="zh-CN"/>
        </w:rPr>
      </w:pPr>
      <w:r>
        <w:rPr>
          <w:rFonts w:hint="eastAsia" w:ascii="仿宋_GB2312" w:hAnsi="仿宋_GB2312" w:eastAsia="仿宋_GB2312" w:cs="仿宋_GB2312"/>
          <w:color w:val="auto"/>
          <w:sz w:val="24"/>
          <w:szCs w:val="24"/>
          <w:lang w:val="en-US" w:eastAsia="zh-CN"/>
        </w:rPr>
        <w:t>图解：选择在阔叶林下栽种，适度间伐，保持林地郁闭度在0.4～0.7淫羊藿生长旺盛。</w:t>
      </w:r>
    </w:p>
    <w:p>
      <w:pPr>
        <w:rPr>
          <w:rFonts w:hint="eastAsia"/>
          <w:lang w:eastAsia="zh-CN"/>
        </w:rPr>
      </w:pPr>
    </w:p>
    <w:sectPr>
      <w:footerReference r:id="rId3"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00007A87" w:usb1="80000000" w:usb2="00000008" w:usb3="00000000" w:csb0="400001FF" w:csb1="FFFF0000"/>
  </w:font>
  <w:font w:name="宋体">
    <w:panose1 w:val="02010600030101010101"/>
    <w:charset w:val="50"/>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2000609000000000000"/>
    <w:charset w:val="02"/>
    <w:family w:val="roman"/>
    <w:pitch w:val="default"/>
    <w:sig w:usb0="800000AF" w:usb1="4000204A" w:usb2="00000000" w:usb3="00000000" w:csb0="20000000" w:csb1="00000000"/>
  </w:font>
  <w:font w:name="Calibri">
    <w:panose1 w:val="020F0502020204030204"/>
    <w:charset w:val="00"/>
    <w:family w:val="swiss"/>
    <w:pitch w:val="default"/>
    <w:sig w:usb0="A00002EF" w:usb1="4000207B" w:usb2="00000000" w:usb3="00000000" w:csb0="2000009F" w:csb1="00000000"/>
  </w:font>
  <w:font w:name="华文中宋">
    <w:panose1 w:val="02010600040101010101"/>
    <w:charset w:val="86"/>
    <w:family w:val="auto"/>
    <w:pitch w:val="default"/>
    <w:sig w:usb0="00000287" w:usb1="080F0000" w:usb2="00000000" w:usb3="00000000" w:csb0="0004009F" w:csb1="DFD70000"/>
  </w:font>
  <w:font w:name="仿宋">
    <w:altName w:val="Arial Unicode MS"/>
    <w:panose1 w:val="02010609060101010101"/>
    <w:charset w:val="86"/>
    <w:family w:val="auto"/>
    <w:pitch w:val="default"/>
    <w:sig w:usb0="00000000" w:usb1="00000000" w:usb2="00000016" w:usb3="00000000" w:csb0="00040001" w:csb1="00000000"/>
  </w:font>
  <w:font w:name="楷体">
    <w:altName w:val="方正楷体_GBK"/>
    <w:panose1 w:val="02010609060101010101"/>
    <w:charset w:val="86"/>
    <w:family w:val="modern"/>
    <w:pitch w:val="default"/>
    <w:sig w:usb0="00000000" w:usb1="00000000"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Book Antiqua">
    <w:panose1 w:val="02040602050305030304"/>
    <w:charset w:val="00"/>
    <w:family w:val="auto"/>
    <w:pitch w:val="default"/>
    <w:sig w:usb0="00000287" w:usb1="00000000" w:usb2="00000000" w:usb3="00000000" w:csb0="2000009F" w:csb1="DFD70000"/>
  </w:font>
  <w:font w:name="方正楷体_GBK">
    <w:panose1 w:val="02000000000000000000"/>
    <w:charset w:val="86"/>
    <w:family w:val="auto"/>
    <w:pitch w:val="default"/>
    <w:sig w:usb0="00000001" w:usb1="08000000" w:usb2="00000000" w:usb3="00000000" w:csb0="00040000" w:csb1="00000000"/>
  </w:font>
  <w:font w:name="Arial Unicode MS">
    <w:panose1 w:val="020B0604020202020204"/>
    <w:charset w:val="86"/>
    <w:family w:val="auto"/>
    <w:pitch w:val="default"/>
    <w:sig w:usb0="FFFFFFFF" w:usb1="E9FFFFFF" w:usb2="0000003F" w:usb3="00000000" w:csb0="603F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098292654"/>
      <w:docPartObj>
        <w:docPartGallery w:val="autotext"/>
      </w:docPartObj>
    </w:sdtPr>
    <w:sdtEndPr>
      <w:rPr>
        <w:rFonts w:ascii="Times New Roman" w:hAnsi="Times New Roman" w:cs="Times New Roman"/>
      </w:rPr>
    </w:sdtEndPr>
    <w:sdtContent>
      <w:p>
        <w:pPr>
          <w:pStyle w:val="4"/>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6</w:t>
        </w:r>
        <w:r>
          <w:rPr>
            <w:rFonts w:ascii="Times New Roman" w:hAnsi="Times New Roman" w:cs="Times New Roman"/>
          </w:rPr>
          <w:fldChar w:fldCharType="end"/>
        </w:r>
      </w:p>
    </w:sdtContent>
  </w:sdt>
  <w:p>
    <w:pPr>
      <w:pStyle w:val="4"/>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6"/>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DVlMTExZjM2OTFjYWJhY2FlNjIxYzgzZDAxMzk4NjUifQ=="/>
  </w:docVars>
  <w:rsids>
    <w:rsidRoot w:val="015153CA"/>
    <w:rsid w:val="015153CA"/>
    <w:rsid w:val="041800B5"/>
    <w:rsid w:val="063128EA"/>
    <w:rsid w:val="07386EE8"/>
    <w:rsid w:val="079B0DAC"/>
    <w:rsid w:val="0DDF7EBE"/>
    <w:rsid w:val="104B66AE"/>
    <w:rsid w:val="10C144DC"/>
    <w:rsid w:val="206E7EE0"/>
    <w:rsid w:val="2B5C5333"/>
    <w:rsid w:val="2DB67A7E"/>
    <w:rsid w:val="30470360"/>
    <w:rsid w:val="34141F7E"/>
    <w:rsid w:val="39826244"/>
    <w:rsid w:val="426E79CE"/>
    <w:rsid w:val="4AC72922"/>
    <w:rsid w:val="563D2B16"/>
    <w:rsid w:val="571B7CCD"/>
    <w:rsid w:val="5A43263C"/>
    <w:rsid w:val="639C3F43"/>
    <w:rsid w:val="65BF7055"/>
    <w:rsid w:val="6C4E249B"/>
    <w:rsid w:val="6D5238C5"/>
    <w:rsid w:val="714D2D21"/>
    <w:rsid w:val="734C0C14"/>
    <w:rsid w:val="77DC095A"/>
    <w:rsid w:val="7A9B336A"/>
    <w:rsid w:val="7CCF602B"/>
    <w:rsid w:val="7FE900B8"/>
    <w:rsid w:val="DDFDD94D"/>
    <w:rsid w:val="EF690B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customStyle="1" w:styleId="2">
    <w:name w:val="Heading2"/>
    <w:basedOn w:val="1"/>
    <w:next w:val="1"/>
    <w:qFormat/>
    <w:uiPriority w:val="99"/>
    <w:pPr>
      <w:keepNext/>
      <w:keepLines/>
      <w:spacing w:line="360" w:lineRule="auto"/>
      <w:ind w:firstLine="420" w:firstLineChars="200"/>
    </w:pPr>
    <w:rPr>
      <w:rFonts w:ascii="Times New Roman" w:hAnsi="Times New Roman"/>
    </w:rPr>
  </w:style>
  <w:style w:type="paragraph" w:styleId="3">
    <w:name w:val="toa heading"/>
    <w:basedOn w:val="1"/>
    <w:next w:val="1"/>
    <w:qFormat/>
    <w:uiPriority w:val="0"/>
    <w:pPr>
      <w:bidi w:val="0"/>
      <w:spacing w:before="120"/>
    </w:pPr>
    <w:rPr>
      <w:rFonts w:ascii="Arial" w:hAnsi="Arial" w:eastAsia="宋体" w:cs="Times New Roman"/>
      <w:sz w:val="24"/>
    </w:rPr>
  </w:style>
  <w:style w:type="paragraph" w:styleId="4">
    <w:name w:val="footer"/>
    <w:basedOn w:val="1"/>
    <w:unhideWhenUsed/>
    <w:qFormat/>
    <w:uiPriority w:val="99"/>
    <w:pPr>
      <w:tabs>
        <w:tab w:val="center" w:pos="4153"/>
        <w:tab w:val="right" w:pos="8306"/>
      </w:tabs>
      <w:snapToGrid w:val="0"/>
      <w:jc w:val="left"/>
    </w:pPr>
    <w:rPr>
      <w:sz w:val="18"/>
      <w:szCs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paragraph" w:styleId="6">
    <w:name w:val="Body Text First Indent 2"/>
    <w:basedOn w:val="1"/>
    <w:next w:val="1"/>
    <w:qFormat/>
    <w:uiPriority w:val="0"/>
    <w:pPr>
      <w:ind w:firstLine="420" w:firstLineChars="200"/>
    </w:pPr>
    <w:rPr>
      <w:rFonts w:cs="Calibri"/>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7</Pages>
  <Words>2788</Words>
  <Characters>3016</Characters>
  <Lines>0</Lines>
  <Paragraphs>0</Paragraphs>
  <TotalTime>174</TotalTime>
  <ScaleCrop>false</ScaleCrop>
  <LinksUpToDate>false</LinksUpToDate>
  <CharactersWithSpaces>3037</CharactersWithSpaces>
  <Application>WPS Office_11.8.2.10624_F1E327BC-269C-435d-A152-05C5408002CA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2024-02-22T02:59:00Z</dcterms:created>
  <dc:creator>侗家仔</dc:creator>
  <cp:lastModifiedBy>ysgz</cp:lastModifiedBy>
  <cp:lastPrinted>2024-02-28T08:24:00Z</cp:lastPrinted>
  <dcterms:modified xsi:type="dcterms:W3CDTF">2025-02-13T14:44:00Z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2052-11.8.2.10624</vt:lpwstr>
  </property>
  <property fmtid="{D5CDD505-2E9C-101B-9397-08002B2CF9AE}" pid="3" name="ICV">
    <vt:lpwstr>104090DEC1E94BAB934297AA7F1FD217_11</vt:lpwstr>
  </property>
  <property fmtid="{D5CDD505-2E9C-101B-9397-08002B2CF9AE}" pid="4" name="KSOTemplateDocerSaveRecord">
    <vt:lpwstr>eyJoZGlkIjoiNDVlMTExZjM2OTFjYWJhY2FlNjIxYzgzZDAxMzk4NjUiLCJ1c2VySWQiOiIyNjc2NDE2ODMifQ==</vt:lpwstr>
  </property>
</Properties>
</file>