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20" w:lineRule="exact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年贵州省农业主推技术</w:t>
      </w:r>
    </w:p>
    <w:p>
      <w:pPr>
        <w:snapToGrid w:val="0"/>
        <w:spacing w:line="620" w:lineRule="exact"/>
        <w:jc w:val="center"/>
        <w:rPr>
          <w:rFonts w:ascii="Times New Roman" w:hAnsi="Times New Roman" w:eastAsia="华文中宋"/>
          <w:b/>
          <w:color w:val="000000"/>
          <w:w w:val="90"/>
          <w:sz w:val="44"/>
          <w:szCs w:val="44"/>
        </w:rPr>
      </w:pPr>
    </w:p>
    <w:p>
      <w:pPr>
        <w:snapToGrid w:val="0"/>
        <w:spacing w:line="560" w:lineRule="exact"/>
        <w:jc w:val="center"/>
        <w:rPr>
          <w:rFonts w:ascii="方正小标宋_GBK" w:hAnsi="方正小标宋_GBK" w:eastAsia="方正小标宋_GBK" w:cs="方正小标宋_GBK"/>
          <w:bCs/>
          <w:color w:val="00000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color w:val="000000"/>
          <w:sz w:val="44"/>
          <w:szCs w:val="44"/>
        </w:rPr>
        <w:t>杂交水稻超高产精确栽培</w:t>
      </w:r>
      <w:r>
        <w:rPr>
          <w:rFonts w:ascii="方正小标宋_GBK" w:hAnsi="方正小标宋_GBK" w:eastAsia="方正小标宋_GBK" w:cs="方正小标宋_GBK"/>
          <w:bCs/>
          <w:color w:val="000000"/>
          <w:sz w:val="44"/>
          <w:szCs w:val="44"/>
        </w:rPr>
        <w:t>技术</w:t>
      </w:r>
    </w:p>
    <w:p>
      <w:pPr>
        <w:snapToGrid w:val="0"/>
        <w:spacing w:line="560" w:lineRule="exact"/>
        <w:jc w:val="center"/>
        <w:rPr>
          <w:rFonts w:ascii="方正小标宋_GBK" w:hAnsi="方正小标宋_GBK" w:eastAsia="方正小标宋_GBK" w:cs="方正小标宋_GBK"/>
          <w:bCs/>
          <w:color w:val="000000"/>
          <w:sz w:val="44"/>
          <w:szCs w:val="44"/>
        </w:rPr>
      </w:pPr>
      <w:bookmarkStart w:id="0" w:name="_GoBack"/>
      <w:bookmarkEnd w:id="0"/>
    </w:p>
    <w:p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黑体"/>
          <w:bCs/>
          <w:sz w:val="32"/>
          <w:szCs w:val="32"/>
        </w:rPr>
        <w:t>摘要：</w:t>
      </w:r>
      <w:r>
        <w:rPr>
          <w:rFonts w:hint="eastAsia" w:ascii="Times New Roman" w:hAnsi="Times New Roman" w:eastAsia="仿宋_GB2312"/>
          <w:sz w:val="28"/>
          <w:szCs w:val="28"/>
        </w:rPr>
        <w:t>针对贵州等西南稻区水稻生产中普遍出现的移栽基本苗严重不足、肥料施用不合理、习惯性淹水灌溉等技术难题，采用以五五精确栽培技术为核心的“贵州水稻超高产精确栽培技术体系”，可实现水稻增产25%以上，水分、肥料利用率提高15%以上，降低化肥、农药用量5%以上，亩增收节支100元以上。通过精确定量施肥，显著降低了肥料损失，提高了肥料利用率，减少了肥料面源污染，保护了生态环境。同时该技术优化了水稻群体结构，促进了水稻壮秆大穗，增强了水稻病虫害抗性，减少了农药用量，协同提高了水稻产量和品质。2010-2014年，技术在全省应用面积1533.9万亩，新增稻谷9.52亿公斤，总经济效益达18.24亿元。2016-2018年仅在遵义地区助力优质米企业实现稻谷平均增产37.6%，新增经济效益5.6亿元，2019年以来继续作为全省水稻核心高产技术广泛应用，2021-2024年，连续四年实现亩产超过1100公斤，最高亩产1174公斤。</w:t>
      </w:r>
    </w:p>
    <w:p>
      <w:pPr>
        <w:snapToGrid w:val="0"/>
        <w:spacing w:line="560" w:lineRule="exact"/>
        <w:ind w:firstLine="640" w:firstLineChars="200"/>
        <w:rPr>
          <w:rFonts w:ascii="Times New Roman" w:hAnsi="Times New Roman" w:eastAsia="黑体"/>
          <w:bCs/>
          <w:sz w:val="32"/>
          <w:szCs w:val="32"/>
        </w:rPr>
      </w:pPr>
      <w:r>
        <w:rPr>
          <w:rFonts w:ascii="Times New Roman" w:hAnsi="Times New Roman" w:eastAsia="黑体"/>
          <w:bCs/>
          <w:sz w:val="32"/>
          <w:szCs w:val="32"/>
        </w:rPr>
        <w:t>一、技术概述</w:t>
      </w:r>
    </w:p>
    <w:p>
      <w:pPr>
        <w:snapToGrid w:val="0"/>
        <w:spacing w:line="560" w:lineRule="exact"/>
        <w:ind w:firstLine="640" w:firstLineChars="200"/>
        <w:rPr>
          <w:rFonts w:ascii="Times New Roman" w:hAnsi="Times New Roman" w:eastAsia="楷体_GB2312"/>
          <w:sz w:val="28"/>
          <w:szCs w:val="28"/>
        </w:rPr>
      </w:pPr>
      <w:r>
        <w:rPr>
          <w:rFonts w:ascii="楷体_GB2312" w:hAnsi="楷体_GB2312" w:eastAsia="楷体_GB2312" w:cs="楷体_GB2312"/>
          <w:sz w:val="32"/>
          <w:szCs w:val="32"/>
        </w:rPr>
        <w:t>（一）基本情况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针对贵州等西南稻区水稻生产中普遍出现的移栽基本苗严重不足、肥料施用不合理、习惯性淹水灌溉等技术难题，为充分发挥水稻产量潜力、大面积提升水稻产量，选用具有超高产潜力的杂交水稻品种，研究形成了以五五精确定量栽培技术为核心的“贵州水稻超高产精确栽培技术体系”。</w:t>
      </w:r>
      <w:r>
        <w:rPr>
          <w:rFonts w:hint="eastAsia" w:ascii="仿宋_GB2312" w:hAnsi="仿宋" w:eastAsia="仿宋_GB2312" w:cs="宋体"/>
          <w:sz w:val="28"/>
          <w:szCs w:val="28"/>
        </w:rPr>
        <w:t>通过精确定量水稻移栽叶龄和移栽规格，保证合理的移栽基本苗，利于形成高产群体适宜穗数；通过精确定量施氮量和施氮方式，保证水稻各生育时期营养需求，显著提高了氮肥利用率；通过水分精确灌溉，有效调控肥料效应和群体结构。</w:t>
      </w:r>
      <w:r>
        <w:rPr>
          <w:rFonts w:hint="eastAsia" w:ascii="仿宋_GB2312" w:hAnsi="仿宋" w:eastAsia="仿宋_GB2312"/>
          <w:sz w:val="28"/>
          <w:szCs w:val="28"/>
        </w:rPr>
        <w:t>集成技术实现了贵州等不同生态区不同类型品种的高产群体构建，显著提升了水稻产量水平，促进了该区域水稻生产大面积增产增收。</w:t>
      </w:r>
    </w:p>
    <w:p>
      <w:pPr>
        <w:snapToGrid w:val="0"/>
        <w:spacing w:line="560" w:lineRule="exact"/>
        <w:ind w:firstLine="640"/>
        <w:rPr>
          <w:rFonts w:ascii="Times New Roman" w:hAnsi="Times New Roman" w:eastAsia="楷体"/>
          <w:sz w:val="32"/>
          <w:szCs w:val="32"/>
        </w:rPr>
      </w:pPr>
      <w:r>
        <w:rPr>
          <w:rFonts w:ascii="楷体_GB2312" w:hAnsi="楷体_GB2312" w:eastAsia="楷体_GB2312" w:cs="楷体_GB2312"/>
          <w:sz w:val="32"/>
          <w:szCs w:val="32"/>
        </w:rPr>
        <w:t>（二）推广应用情况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" w:eastAsia="仿宋_GB2312" w:cs="宋体"/>
          <w:sz w:val="28"/>
          <w:szCs w:val="28"/>
        </w:rPr>
      </w:pPr>
      <w:r>
        <w:rPr>
          <w:rFonts w:hint="eastAsia" w:ascii="仿宋_GB2312" w:hAnsi="仿宋" w:eastAsia="仿宋_GB2312" w:cs="宋体"/>
          <w:sz w:val="28"/>
          <w:szCs w:val="28"/>
        </w:rPr>
        <w:t>以五五精确栽培技术为</w:t>
      </w:r>
      <w:r>
        <w:rPr>
          <w:rFonts w:ascii="仿宋_GB2312" w:hAnsi="仿宋" w:eastAsia="仿宋_GB2312" w:cs="宋体"/>
          <w:sz w:val="28"/>
          <w:szCs w:val="28"/>
        </w:rPr>
        <w:t>核心</w:t>
      </w:r>
      <w:r>
        <w:rPr>
          <w:rFonts w:hint="eastAsia" w:ascii="仿宋_GB2312" w:hAnsi="仿宋" w:eastAsia="仿宋_GB2312" w:cs="宋体"/>
          <w:sz w:val="28"/>
          <w:szCs w:val="28"/>
        </w:rPr>
        <w:t>的</w:t>
      </w:r>
      <w:r>
        <w:rPr>
          <w:rFonts w:ascii="仿宋_GB2312" w:hAnsi="仿宋" w:eastAsia="仿宋_GB2312" w:cs="宋体"/>
          <w:sz w:val="28"/>
          <w:szCs w:val="28"/>
        </w:rPr>
        <w:t>“贵州水稻</w:t>
      </w:r>
      <w:r>
        <w:rPr>
          <w:rFonts w:hint="eastAsia" w:ascii="仿宋_GB2312" w:hAnsi="仿宋" w:eastAsia="仿宋_GB2312" w:cs="宋体"/>
          <w:sz w:val="28"/>
          <w:szCs w:val="28"/>
        </w:rPr>
        <w:t>超高产精确栽培技术体系</w:t>
      </w:r>
      <w:r>
        <w:rPr>
          <w:rFonts w:ascii="仿宋_GB2312" w:hAnsi="仿宋" w:eastAsia="仿宋_GB2312" w:cs="宋体"/>
          <w:sz w:val="28"/>
          <w:szCs w:val="28"/>
        </w:rPr>
        <w:t>”自201</w:t>
      </w:r>
      <w:r>
        <w:rPr>
          <w:rFonts w:hint="eastAsia" w:ascii="仿宋_GB2312" w:hAnsi="仿宋" w:eastAsia="仿宋_GB2312" w:cs="宋体"/>
          <w:sz w:val="28"/>
          <w:szCs w:val="28"/>
        </w:rPr>
        <w:t>0</w:t>
      </w:r>
      <w:r>
        <w:rPr>
          <w:rFonts w:ascii="仿宋_GB2312" w:hAnsi="仿宋" w:eastAsia="仿宋_GB2312" w:cs="宋体"/>
          <w:sz w:val="28"/>
          <w:szCs w:val="28"/>
        </w:rPr>
        <w:t>年以来</w:t>
      </w:r>
      <w:r>
        <w:rPr>
          <w:rFonts w:hint="eastAsia" w:ascii="仿宋_GB2312" w:hAnsi="仿宋" w:eastAsia="仿宋_GB2312" w:cs="宋体"/>
          <w:sz w:val="28"/>
          <w:szCs w:val="28"/>
        </w:rPr>
        <w:t>一直作为全省粮食生产的重要支撑技术</w:t>
      </w:r>
      <w:r>
        <w:rPr>
          <w:rFonts w:ascii="仿宋_GB2312" w:hAnsi="仿宋" w:eastAsia="仿宋_GB2312" w:cs="宋体"/>
          <w:sz w:val="28"/>
          <w:szCs w:val="28"/>
        </w:rPr>
        <w:t>，</w:t>
      </w:r>
      <w:r>
        <w:rPr>
          <w:rFonts w:hint="eastAsia" w:ascii="仿宋_GB2312" w:hAnsi="仿宋" w:eastAsia="仿宋_GB2312" w:cs="宋体"/>
          <w:sz w:val="28"/>
          <w:szCs w:val="28"/>
        </w:rPr>
        <w:t>引领贵州不同生态区水稻超高产创建，创造了一系列水稻超高产典型，促进全省水稻大面积增产增效</w:t>
      </w:r>
      <w:r>
        <w:rPr>
          <w:rFonts w:ascii="仿宋_GB2312" w:hAnsi="仿宋" w:eastAsia="仿宋_GB2312" w:cs="宋体"/>
          <w:sz w:val="28"/>
          <w:szCs w:val="28"/>
        </w:rPr>
        <w:t>。2014年在兴义市</w:t>
      </w:r>
      <w:r>
        <w:rPr>
          <w:rFonts w:hint="eastAsia" w:ascii="仿宋_GB2312" w:hAnsi="仿宋" w:eastAsia="仿宋_GB2312" w:cs="宋体"/>
          <w:sz w:val="28"/>
          <w:szCs w:val="28"/>
        </w:rPr>
        <w:t>万峰林水稻基地创建的超高产示范片，经谢华安院士现场测产验收，达到亩产1079.2公斤，创当年全国水稻高产记录</w:t>
      </w:r>
      <w:r>
        <w:rPr>
          <w:rFonts w:ascii="仿宋_GB2312" w:hAnsi="仿宋" w:eastAsia="仿宋_GB2312" w:cs="宋体"/>
          <w:sz w:val="28"/>
          <w:szCs w:val="28"/>
        </w:rPr>
        <w:t>。</w:t>
      </w:r>
      <w:r>
        <w:rPr>
          <w:rFonts w:hint="eastAsia" w:ascii="仿宋_GB2312" w:hAnsi="仿宋" w:eastAsia="仿宋_GB2312" w:cs="宋体"/>
          <w:sz w:val="28"/>
          <w:szCs w:val="28"/>
        </w:rPr>
        <w:t>2010-2014年，技术在全省应用面积1533.9万亩，新增稻谷9.52亿公斤，总经济效益达18.24亿元。2016-2018年仅在遵义地区助力优质米企业实现稻谷平均增产37.6%，新增经济效益5.6亿元，2019年以来继续作为全省水稻核心高产技术广泛应用，2021-2024年，连续四年实现亩产超过1100公斤，最高亩产1174公斤。</w:t>
      </w:r>
    </w:p>
    <w:p>
      <w:pPr>
        <w:spacing w:line="600" w:lineRule="exact"/>
        <w:ind w:firstLine="64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ascii="楷体_GB2312" w:hAnsi="楷体_GB2312" w:eastAsia="楷体_GB2312" w:cs="楷体_GB2312"/>
          <w:sz w:val="32"/>
          <w:szCs w:val="32"/>
        </w:rPr>
        <w:t>（三）提质增效情况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" w:eastAsia="仿宋_GB2312" w:cs="宋体"/>
          <w:sz w:val="28"/>
          <w:szCs w:val="28"/>
        </w:rPr>
      </w:pPr>
      <w:r>
        <w:rPr>
          <w:rFonts w:ascii="仿宋_GB2312" w:hAnsi="仿宋" w:eastAsia="仿宋_GB2312" w:cs="宋体"/>
          <w:sz w:val="28"/>
          <w:szCs w:val="28"/>
        </w:rPr>
        <w:t>根据相关专题试验研究</w:t>
      </w:r>
      <w:r>
        <w:rPr>
          <w:rFonts w:hint="eastAsia" w:ascii="仿宋_GB2312" w:hAnsi="仿宋" w:eastAsia="仿宋_GB2312" w:cs="宋体"/>
          <w:sz w:val="28"/>
          <w:szCs w:val="28"/>
        </w:rPr>
        <w:t>、</w:t>
      </w:r>
      <w:r>
        <w:rPr>
          <w:rFonts w:ascii="仿宋_GB2312" w:hAnsi="仿宋" w:eastAsia="仿宋_GB2312" w:cs="宋体"/>
          <w:sz w:val="28"/>
          <w:szCs w:val="28"/>
        </w:rPr>
        <w:t>现场验收意见</w:t>
      </w:r>
      <w:r>
        <w:rPr>
          <w:rFonts w:hint="eastAsia" w:ascii="仿宋_GB2312" w:hAnsi="仿宋" w:eastAsia="仿宋_GB2312" w:cs="宋体"/>
          <w:sz w:val="28"/>
          <w:szCs w:val="28"/>
        </w:rPr>
        <w:t>和成果评价意见，</w:t>
      </w:r>
      <w:r>
        <w:rPr>
          <w:rFonts w:ascii="仿宋_GB2312" w:hAnsi="仿宋" w:eastAsia="仿宋_GB2312" w:cs="宋体"/>
          <w:sz w:val="28"/>
          <w:szCs w:val="28"/>
        </w:rPr>
        <w:t>和常规技术相比，该技术可</w:t>
      </w:r>
      <w:r>
        <w:rPr>
          <w:rFonts w:hint="eastAsia" w:ascii="仿宋_GB2312" w:hAnsi="仿宋" w:eastAsia="仿宋_GB2312" w:cs="宋体"/>
          <w:sz w:val="28"/>
          <w:szCs w:val="28"/>
        </w:rPr>
        <w:t>实现水稻增产25</w:t>
      </w:r>
      <w:r>
        <w:rPr>
          <w:rFonts w:ascii="仿宋_GB2312" w:hAnsi="仿宋" w:eastAsia="仿宋_GB2312" w:cs="宋体"/>
          <w:sz w:val="28"/>
          <w:szCs w:val="28"/>
        </w:rPr>
        <w:t>%以上，水分、肥料利用率提高1</w:t>
      </w:r>
      <w:r>
        <w:rPr>
          <w:rFonts w:hint="eastAsia" w:ascii="仿宋_GB2312" w:hAnsi="仿宋" w:eastAsia="仿宋_GB2312" w:cs="宋体"/>
          <w:sz w:val="28"/>
          <w:szCs w:val="28"/>
        </w:rPr>
        <w:t>5</w:t>
      </w:r>
      <w:r>
        <w:rPr>
          <w:rFonts w:ascii="仿宋_GB2312" w:hAnsi="仿宋" w:eastAsia="仿宋_GB2312" w:cs="宋体"/>
          <w:sz w:val="28"/>
          <w:szCs w:val="28"/>
        </w:rPr>
        <w:t>%以上，降低化肥、农药用量5%以上，亩增收节支100元以上</w:t>
      </w:r>
      <w:r>
        <w:rPr>
          <w:rFonts w:hint="eastAsia" w:ascii="仿宋_GB2312" w:hAnsi="仿宋" w:eastAsia="仿宋_GB2312" w:cs="宋体"/>
          <w:sz w:val="28"/>
          <w:szCs w:val="28"/>
        </w:rPr>
        <w:t>。通过精确定量施肥，显著降低了肥料损失，提高了肥料利用率，减少了肥料面源污染，保护了生态环境。同时该技术优化了水稻群体结构，促进了水稻壮秆大穗，增强了水稻病虫害抗性，减少了农药用量，协同提高了水稻产量和品质</w:t>
      </w:r>
      <w:r>
        <w:rPr>
          <w:rFonts w:ascii="仿宋_GB2312" w:hAnsi="仿宋" w:eastAsia="仿宋_GB2312" w:cs="宋体"/>
          <w:sz w:val="28"/>
          <w:szCs w:val="28"/>
        </w:rPr>
        <w:t>。</w:t>
      </w:r>
    </w:p>
    <w:p>
      <w:pPr>
        <w:spacing w:line="360" w:lineRule="auto"/>
        <w:ind w:firstLine="480" w:firstLineChars="15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（四）获奖情况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" w:eastAsia="仿宋_GB2312" w:cs="宋体"/>
          <w:sz w:val="28"/>
          <w:szCs w:val="28"/>
        </w:rPr>
      </w:pPr>
      <w:r>
        <w:rPr>
          <w:rFonts w:hint="eastAsia" w:ascii="仿宋_GB2312" w:hAnsi="仿宋" w:eastAsia="仿宋_GB2312" w:cs="宋体"/>
          <w:sz w:val="28"/>
          <w:szCs w:val="28"/>
        </w:rPr>
        <w:t>以本技术为核心技术成果获省部级二等奖3项。其中</w:t>
      </w:r>
      <w:r>
        <w:rPr>
          <w:rFonts w:ascii="仿宋_GB2312" w:hAnsi="仿宋" w:eastAsia="仿宋_GB2312" w:cs="宋体"/>
          <w:sz w:val="28"/>
          <w:szCs w:val="28"/>
        </w:rPr>
        <w:t>获</w:t>
      </w:r>
      <w:r>
        <w:rPr>
          <w:rFonts w:hint="eastAsia" w:ascii="仿宋_GB2312" w:hAnsi="仿宋" w:eastAsia="仿宋_GB2312" w:cs="宋体"/>
          <w:sz w:val="28"/>
          <w:szCs w:val="28"/>
        </w:rPr>
        <w:t>2011年</w:t>
      </w:r>
      <w:r>
        <w:rPr>
          <w:rFonts w:ascii="仿宋_GB2312" w:hAnsi="仿宋" w:eastAsia="仿宋_GB2312" w:cs="宋体"/>
          <w:sz w:val="28"/>
          <w:szCs w:val="28"/>
        </w:rPr>
        <w:t>贵州省科技</w:t>
      </w:r>
      <w:r>
        <w:rPr>
          <w:rFonts w:hint="eastAsia" w:ascii="仿宋_GB2312" w:hAnsi="仿宋" w:eastAsia="仿宋_GB2312" w:cs="宋体"/>
          <w:sz w:val="28"/>
          <w:szCs w:val="28"/>
        </w:rPr>
        <w:t>进步二等奖1项（</w:t>
      </w:r>
      <w:r>
        <w:rPr>
          <w:rFonts w:ascii="仿宋_GB2312" w:hAnsi="仿宋" w:eastAsia="仿宋_GB2312" w:cs="宋体"/>
          <w:sz w:val="28"/>
          <w:szCs w:val="28"/>
        </w:rPr>
        <w:t>贵州杂交水稻超高产精确栽培技术体系研究与应用</w:t>
      </w:r>
      <w:r>
        <w:rPr>
          <w:rFonts w:hint="eastAsia" w:ascii="仿宋_GB2312" w:hAnsi="仿宋" w:eastAsia="仿宋_GB2312" w:cs="宋体"/>
          <w:sz w:val="28"/>
          <w:szCs w:val="28"/>
        </w:rPr>
        <w:t>），</w:t>
      </w:r>
      <w:r>
        <w:rPr>
          <w:rFonts w:ascii="仿宋_GB2312" w:hAnsi="仿宋" w:eastAsia="仿宋_GB2312" w:cs="宋体"/>
          <w:sz w:val="28"/>
          <w:szCs w:val="28"/>
        </w:rPr>
        <w:t>获</w:t>
      </w:r>
      <w:r>
        <w:rPr>
          <w:rFonts w:hint="eastAsia" w:ascii="仿宋_GB2312" w:hAnsi="仿宋" w:eastAsia="仿宋_GB2312" w:cs="宋体"/>
          <w:sz w:val="28"/>
          <w:szCs w:val="28"/>
        </w:rPr>
        <w:t>2015年</w:t>
      </w:r>
      <w:r>
        <w:rPr>
          <w:rFonts w:ascii="仿宋_GB2312" w:hAnsi="仿宋" w:eastAsia="仿宋_GB2312" w:cs="宋体"/>
          <w:sz w:val="28"/>
          <w:szCs w:val="28"/>
        </w:rPr>
        <w:t>贵州省科技成果转化二等奖</w:t>
      </w:r>
      <w:r>
        <w:rPr>
          <w:rFonts w:hint="eastAsia" w:ascii="仿宋_GB2312" w:hAnsi="仿宋" w:eastAsia="仿宋_GB2312" w:cs="宋体"/>
          <w:sz w:val="28"/>
          <w:szCs w:val="28"/>
        </w:rPr>
        <w:t>1项（</w:t>
      </w:r>
      <w:r>
        <w:rPr>
          <w:rFonts w:ascii="仿宋_GB2312" w:hAnsi="仿宋" w:eastAsia="仿宋_GB2312" w:cs="宋体"/>
          <w:sz w:val="28"/>
          <w:szCs w:val="28"/>
        </w:rPr>
        <w:t>贵州杂交水稻种三产四和精确栽培技术集成与应用</w:t>
      </w:r>
      <w:r>
        <w:rPr>
          <w:rFonts w:hint="eastAsia" w:ascii="仿宋_GB2312" w:hAnsi="仿宋" w:eastAsia="仿宋_GB2312" w:cs="宋体"/>
          <w:sz w:val="28"/>
          <w:szCs w:val="28"/>
        </w:rPr>
        <w:t>），获2022年度贵州省科技进步奖二等奖（西南寡照区杂交籼稻高产高效关键技术创新与应用）</w:t>
      </w:r>
      <w:r>
        <w:rPr>
          <w:rFonts w:ascii="仿宋_GB2312" w:hAnsi="仿宋" w:eastAsia="仿宋_GB2312" w:cs="宋体"/>
          <w:sz w:val="28"/>
          <w:szCs w:val="28"/>
        </w:rPr>
        <w:t>。</w:t>
      </w:r>
    </w:p>
    <w:p>
      <w:pPr>
        <w:spacing w:line="360" w:lineRule="auto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二、技术要点</w:t>
      </w:r>
    </w:p>
    <w:p>
      <w:pPr>
        <w:snapToGrid w:val="0"/>
        <w:spacing w:line="560" w:lineRule="exact"/>
        <w:ind w:firstLine="640" w:firstLineChars="200"/>
        <w:rPr>
          <w:rFonts w:ascii="Times New Roman" w:hAnsi="Times New Roman" w:eastAsia="楷体_GB2312"/>
          <w:sz w:val="32"/>
          <w:szCs w:val="32"/>
        </w:rPr>
      </w:pPr>
      <w:r>
        <w:rPr>
          <w:rFonts w:ascii="楷体_GB2312" w:hAnsi="楷体_GB2312" w:eastAsia="楷体_GB2312" w:cs="楷体_GB2312"/>
          <w:sz w:val="32"/>
          <w:szCs w:val="32"/>
        </w:rPr>
        <w:t>（一）</w:t>
      </w:r>
      <w:r>
        <w:rPr>
          <w:rFonts w:hint="eastAsia" w:ascii="Times New Roman" w:hAnsi="Times New Roman" w:eastAsia="楷体_GB2312"/>
          <w:sz w:val="32"/>
          <w:szCs w:val="32"/>
        </w:rPr>
        <w:t>品种选择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" w:eastAsia="仿宋_GB2312" w:cs="宋体"/>
          <w:sz w:val="28"/>
          <w:szCs w:val="28"/>
        </w:rPr>
      </w:pPr>
      <w:r>
        <w:rPr>
          <w:rFonts w:ascii="仿宋_GB2312" w:hAnsi="仿宋" w:eastAsia="仿宋_GB2312" w:cs="宋体"/>
          <w:sz w:val="28"/>
          <w:szCs w:val="28"/>
        </w:rPr>
        <w:t>选择</w:t>
      </w:r>
      <w:r>
        <w:rPr>
          <w:rFonts w:hint="eastAsia" w:ascii="仿宋_GB2312" w:hAnsi="仿宋" w:eastAsia="仿宋_GB2312" w:cs="宋体"/>
          <w:sz w:val="28"/>
          <w:szCs w:val="28"/>
        </w:rPr>
        <w:t>生育期适中、株型紧凑、茎秆粗壮、病虫害</w:t>
      </w:r>
      <w:r>
        <w:rPr>
          <w:rFonts w:ascii="仿宋_GB2312" w:hAnsi="仿宋" w:eastAsia="仿宋_GB2312" w:cs="宋体"/>
          <w:sz w:val="28"/>
          <w:szCs w:val="28"/>
        </w:rPr>
        <w:t>抗性较强的优质</w:t>
      </w:r>
      <w:r>
        <w:rPr>
          <w:rFonts w:hint="eastAsia" w:ascii="仿宋_GB2312" w:hAnsi="仿宋" w:eastAsia="仿宋_GB2312" w:cs="宋体"/>
          <w:sz w:val="28"/>
          <w:szCs w:val="28"/>
        </w:rPr>
        <w:t>高产</w:t>
      </w:r>
      <w:r>
        <w:rPr>
          <w:rFonts w:ascii="仿宋_GB2312" w:hAnsi="仿宋" w:eastAsia="仿宋_GB2312" w:cs="宋体"/>
          <w:sz w:val="28"/>
          <w:szCs w:val="28"/>
        </w:rPr>
        <w:t>水稻品种。品种</w:t>
      </w:r>
      <w:r>
        <w:rPr>
          <w:rFonts w:hint="eastAsia" w:ascii="仿宋_GB2312" w:hAnsi="仿宋" w:eastAsia="仿宋_GB2312" w:cs="宋体"/>
          <w:sz w:val="28"/>
          <w:szCs w:val="28"/>
        </w:rPr>
        <w:t>应通过</w:t>
      </w:r>
      <w:r>
        <w:rPr>
          <w:rFonts w:ascii="仿宋_GB2312" w:hAnsi="仿宋" w:eastAsia="仿宋_GB2312" w:cs="宋体"/>
          <w:sz w:val="28"/>
          <w:szCs w:val="28"/>
        </w:rPr>
        <w:t>国家或贵州省农作物品种审定委员会审定</w:t>
      </w:r>
      <w:r>
        <w:rPr>
          <w:rFonts w:hint="eastAsia" w:ascii="仿宋_GB2312" w:hAnsi="仿宋" w:eastAsia="仿宋_GB2312" w:cs="宋体"/>
          <w:sz w:val="28"/>
          <w:szCs w:val="28"/>
        </w:rPr>
        <w:t>（</w:t>
      </w:r>
      <w:r>
        <w:rPr>
          <w:rFonts w:ascii="仿宋_GB2312" w:hAnsi="仿宋" w:eastAsia="仿宋_GB2312" w:cs="宋体"/>
          <w:sz w:val="28"/>
          <w:szCs w:val="28"/>
        </w:rPr>
        <w:t>认定</w:t>
      </w:r>
      <w:r>
        <w:rPr>
          <w:rFonts w:hint="eastAsia" w:ascii="仿宋_GB2312" w:hAnsi="仿宋" w:eastAsia="仿宋_GB2312" w:cs="宋体"/>
          <w:sz w:val="28"/>
          <w:szCs w:val="28"/>
        </w:rPr>
        <w:t>），</w:t>
      </w:r>
      <w:r>
        <w:rPr>
          <w:rFonts w:ascii="仿宋_GB2312" w:hAnsi="仿宋" w:eastAsia="仿宋_GB2312" w:cs="宋体"/>
          <w:sz w:val="28"/>
          <w:szCs w:val="28"/>
        </w:rPr>
        <w:t>稻米品质达到国标三级以上</w:t>
      </w:r>
      <w:r>
        <w:rPr>
          <w:rFonts w:hint="eastAsia" w:ascii="仿宋_GB2312" w:hAnsi="仿宋" w:eastAsia="仿宋_GB2312" w:cs="宋体"/>
          <w:sz w:val="28"/>
          <w:szCs w:val="28"/>
        </w:rPr>
        <w:t>。</w:t>
      </w:r>
    </w:p>
    <w:p>
      <w:pPr>
        <w:snapToGrid w:val="0"/>
        <w:spacing w:line="560" w:lineRule="exact"/>
        <w:ind w:firstLine="640" w:firstLineChars="200"/>
        <w:rPr>
          <w:rFonts w:ascii="Times New Roman" w:hAnsi="Times New Roman" w:eastAsia="楷体_GB2312"/>
          <w:sz w:val="32"/>
          <w:szCs w:val="32"/>
        </w:rPr>
      </w:pPr>
      <w:r>
        <w:rPr>
          <w:rFonts w:ascii="楷体_GB2312" w:hAnsi="楷体_GB2312" w:eastAsia="楷体_GB2312" w:cs="楷体_GB2312"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</w:rPr>
        <w:t>二</w:t>
      </w:r>
      <w:r>
        <w:rPr>
          <w:rFonts w:ascii="楷体_GB2312" w:hAnsi="楷体_GB2312" w:eastAsia="楷体_GB2312" w:cs="楷体_GB2312"/>
          <w:sz w:val="32"/>
          <w:szCs w:val="32"/>
        </w:rPr>
        <w:t>）</w:t>
      </w:r>
      <w:r>
        <w:rPr>
          <w:rFonts w:hint="eastAsia" w:ascii="Times New Roman" w:hAnsi="Times New Roman" w:eastAsia="楷体_GB2312"/>
          <w:sz w:val="32"/>
          <w:szCs w:val="32"/>
        </w:rPr>
        <w:t>壮秧</w:t>
      </w:r>
      <w:r>
        <w:rPr>
          <w:rFonts w:ascii="Times New Roman" w:hAnsi="Times New Roman" w:eastAsia="楷体_GB2312"/>
          <w:sz w:val="32"/>
          <w:szCs w:val="32"/>
        </w:rPr>
        <w:t>培育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" w:eastAsia="仿宋_GB2312" w:cs="宋体"/>
          <w:sz w:val="28"/>
          <w:szCs w:val="28"/>
        </w:rPr>
      </w:pPr>
      <w:r>
        <w:rPr>
          <w:rFonts w:ascii="仿宋_GB2312" w:hAnsi="仿宋" w:eastAsia="仿宋_GB2312" w:cs="宋体"/>
          <w:sz w:val="28"/>
          <w:szCs w:val="28"/>
        </w:rPr>
        <w:t>在日均温稳定通过12℃时方可播种，一般在清明前后。种子经过消毒、浸泡、催芽露白即可播种。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" w:eastAsia="仿宋_GB2312" w:cs="宋体"/>
          <w:sz w:val="28"/>
          <w:szCs w:val="28"/>
        </w:rPr>
      </w:pPr>
      <w:r>
        <w:rPr>
          <w:rFonts w:ascii="仿宋_GB2312" w:hAnsi="仿宋" w:eastAsia="仿宋_GB2312" w:cs="宋体"/>
          <w:sz w:val="28"/>
          <w:szCs w:val="28"/>
        </w:rPr>
        <w:t>采取旱育秧方式</w:t>
      </w:r>
      <w:r>
        <w:rPr>
          <w:rFonts w:hint="eastAsia" w:ascii="仿宋_GB2312" w:hAnsi="仿宋" w:eastAsia="仿宋_GB2312" w:cs="宋体"/>
          <w:sz w:val="28"/>
          <w:szCs w:val="28"/>
        </w:rPr>
        <w:t>，</w:t>
      </w:r>
      <w:r>
        <w:rPr>
          <w:rFonts w:ascii="仿宋_GB2312" w:hAnsi="仿宋" w:eastAsia="仿宋_GB2312" w:cs="宋体"/>
          <w:sz w:val="28"/>
          <w:szCs w:val="28"/>
        </w:rPr>
        <w:t>播种盖土后，用40％的噁草·丁草胺兑水喷雾厢面除草，覆盖地膜与拱膜，出苗立针后，去除地膜，保留拱膜，根据气温揭膜炼苗。移栽前3-5</w:t>
      </w:r>
      <w:r>
        <w:rPr>
          <w:rFonts w:hint="eastAsia" w:ascii="仿宋_GB2312" w:hAnsi="仿宋" w:eastAsia="仿宋_GB2312" w:cs="宋体"/>
          <w:sz w:val="28"/>
          <w:szCs w:val="28"/>
        </w:rPr>
        <w:t>天</w:t>
      </w:r>
      <w:r>
        <w:rPr>
          <w:rFonts w:ascii="仿宋_GB2312" w:hAnsi="仿宋" w:eastAsia="仿宋_GB2312" w:cs="宋体"/>
          <w:sz w:val="28"/>
          <w:szCs w:val="28"/>
        </w:rPr>
        <w:t>施用尿素作送嫁肥，</w:t>
      </w:r>
      <w:r>
        <w:rPr>
          <w:rFonts w:hint="eastAsia" w:ascii="仿宋_GB2312" w:hAnsi="仿宋" w:eastAsia="仿宋_GB2312" w:cs="宋体"/>
          <w:sz w:val="28"/>
          <w:szCs w:val="28"/>
        </w:rPr>
        <w:t>每平方米施用尿素</w:t>
      </w:r>
      <w:r>
        <w:rPr>
          <w:rFonts w:ascii="仿宋_GB2312" w:hAnsi="仿宋" w:eastAsia="仿宋_GB2312" w:cs="宋体"/>
          <w:sz w:val="28"/>
          <w:szCs w:val="28"/>
        </w:rPr>
        <w:t>10-15</w:t>
      </w:r>
      <w:r>
        <w:rPr>
          <w:rFonts w:hint="eastAsia" w:ascii="仿宋_GB2312" w:hAnsi="仿宋" w:eastAsia="仿宋_GB2312" w:cs="宋体"/>
          <w:sz w:val="28"/>
          <w:szCs w:val="28"/>
        </w:rPr>
        <w:t>克</w:t>
      </w:r>
      <w:r>
        <w:rPr>
          <w:rFonts w:ascii="仿宋_GB2312" w:hAnsi="仿宋" w:eastAsia="仿宋_GB2312" w:cs="宋体"/>
          <w:sz w:val="28"/>
          <w:szCs w:val="28"/>
        </w:rPr>
        <w:t>。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" w:eastAsia="仿宋_GB2312" w:cs="宋体"/>
          <w:sz w:val="28"/>
          <w:szCs w:val="28"/>
        </w:rPr>
      </w:pPr>
      <w:r>
        <w:rPr>
          <w:rFonts w:ascii="仿宋_GB2312" w:hAnsi="仿宋" w:eastAsia="仿宋_GB2312" w:cs="宋体"/>
          <w:sz w:val="28"/>
          <w:szCs w:val="28"/>
        </w:rPr>
        <w:t>采用塑料钵盘育秧</w:t>
      </w:r>
      <w:r>
        <w:rPr>
          <w:rFonts w:hint="eastAsia" w:ascii="仿宋_GB2312" w:hAnsi="仿宋" w:eastAsia="仿宋_GB2312" w:cs="宋体"/>
          <w:sz w:val="28"/>
          <w:szCs w:val="28"/>
        </w:rPr>
        <w:t>，按照</w:t>
      </w:r>
      <w:r>
        <w:rPr>
          <w:rFonts w:ascii="仿宋_GB2312" w:hAnsi="仿宋" w:eastAsia="仿宋_GB2312" w:cs="宋体"/>
          <w:sz w:val="28"/>
          <w:szCs w:val="28"/>
        </w:rPr>
        <w:t>播底土—播种—覆土—洒水</w:t>
      </w:r>
      <w:r>
        <w:rPr>
          <w:rFonts w:hint="eastAsia" w:ascii="仿宋_GB2312" w:hAnsi="仿宋" w:eastAsia="仿宋_GB2312" w:cs="宋体"/>
          <w:sz w:val="28"/>
          <w:szCs w:val="28"/>
        </w:rPr>
        <w:t>等程序，</w:t>
      </w:r>
      <w:r>
        <w:rPr>
          <w:rFonts w:ascii="仿宋_GB2312" w:hAnsi="仿宋" w:eastAsia="仿宋_GB2312" w:cs="宋体"/>
          <w:sz w:val="28"/>
          <w:szCs w:val="28"/>
        </w:rPr>
        <w:t>暗化3-5</w:t>
      </w:r>
      <w:r>
        <w:rPr>
          <w:rFonts w:hint="eastAsia" w:ascii="仿宋_GB2312" w:hAnsi="仿宋" w:eastAsia="仿宋_GB2312" w:cs="宋体"/>
          <w:sz w:val="28"/>
          <w:szCs w:val="28"/>
        </w:rPr>
        <w:t>天</w:t>
      </w:r>
      <w:r>
        <w:rPr>
          <w:rFonts w:ascii="仿宋_GB2312" w:hAnsi="仿宋" w:eastAsia="仿宋_GB2312" w:cs="宋体"/>
          <w:sz w:val="28"/>
          <w:szCs w:val="28"/>
        </w:rPr>
        <w:t>后并排放于</w:t>
      </w:r>
      <w:r>
        <w:rPr>
          <w:rFonts w:hint="eastAsia" w:ascii="仿宋_GB2312" w:hAnsi="仿宋" w:eastAsia="仿宋_GB2312" w:cs="宋体"/>
          <w:sz w:val="28"/>
          <w:szCs w:val="28"/>
        </w:rPr>
        <w:t>厢面，</w:t>
      </w:r>
      <w:r>
        <w:rPr>
          <w:rFonts w:ascii="仿宋_GB2312" w:hAnsi="仿宋" w:eastAsia="仿宋_GB2312" w:cs="宋体"/>
          <w:sz w:val="28"/>
          <w:szCs w:val="28"/>
        </w:rPr>
        <w:t>摆盘</w:t>
      </w:r>
      <w:r>
        <w:rPr>
          <w:rFonts w:hint="eastAsia" w:ascii="仿宋_GB2312" w:hAnsi="仿宋" w:eastAsia="仿宋_GB2312" w:cs="宋体"/>
          <w:sz w:val="28"/>
          <w:szCs w:val="28"/>
        </w:rPr>
        <w:t>后</w:t>
      </w:r>
      <w:r>
        <w:rPr>
          <w:rFonts w:ascii="仿宋_GB2312" w:hAnsi="仿宋" w:eastAsia="仿宋_GB2312" w:cs="宋体"/>
          <w:sz w:val="28"/>
          <w:szCs w:val="28"/>
        </w:rPr>
        <w:t>灌</w:t>
      </w:r>
      <w:r>
        <w:rPr>
          <w:rFonts w:hint="eastAsia" w:ascii="仿宋_GB2312" w:hAnsi="仿宋" w:eastAsia="仿宋_GB2312" w:cs="宋体"/>
          <w:sz w:val="28"/>
          <w:szCs w:val="28"/>
        </w:rPr>
        <w:t>平沟</w:t>
      </w:r>
      <w:r>
        <w:rPr>
          <w:rFonts w:ascii="仿宋_GB2312" w:hAnsi="仿宋" w:eastAsia="仿宋_GB2312" w:cs="宋体"/>
          <w:sz w:val="28"/>
          <w:szCs w:val="28"/>
        </w:rPr>
        <w:t>水，无纺布</w:t>
      </w:r>
      <w:r>
        <w:rPr>
          <w:rFonts w:hint="eastAsia" w:ascii="仿宋_GB2312" w:hAnsi="仿宋" w:eastAsia="仿宋_GB2312" w:cs="宋体"/>
          <w:sz w:val="28"/>
          <w:szCs w:val="28"/>
        </w:rPr>
        <w:t>盖膜</w:t>
      </w:r>
      <w:r>
        <w:rPr>
          <w:rFonts w:ascii="仿宋_GB2312" w:hAnsi="仿宋" w:eastAsia="仿宋_GB2312" w:cs="宋体"/>
          <w:sz w:val="28"/>
          <w:szCs w:val="28"/>
        </w:rPr>
        <w:t>。1叶期每百张秧盘可用 15%多效唑粉剂 6g 兑水</w:t>
      </w:r>
      <w:r>
        <w:rPr>
          <w:rFonts w:hint="eastAsia" w:ascii="仿宋_GB2312" w:hAnsi="仿宋" w:eastAsia="仿宋_GB2312" w:cs="宋体"/>
          <w:sz w:val="28"/>
          <w:szCs w:val="28"/>
        </w:rPr>
        <w:t>均匀</w:t>
      </w:r>
      <w:r>
        <w:rPr>
          <w:rFonts w:ascii="仿宋_GB2312" w:hAnsi="仿宋" w:eastAsia="仿宋_GB2312" w:cs="宋体"/>
          <w:sz w:val="28"/>
          <w:szCs w:val="28"/>
        </w:rPr>
        <w:t>喷施</w:t>
      </w:r>
      <w:r>
        <w:rPr>
          <w:rFonts w:hint="eastAsia" w:ascii="仿宋_GB2312" w:hAnsi="仿宋" w:eastAsia="仿宋_GB2312" w:cs="宋体"/>
          <w:sz w:val="28"/>
          <w:szCs w:val="28"/>
        </w:rPr>
        <w:t>，控制苗高</w:t>
      </w:r>
      <w:r>
        <w:rPr>
          <w:rFonts w:ascii="仿宋_GB2312" w:hAnsi="仿宋" w:eastAsia="仿宋_GB2312" w:cs="宋体"/>
          <w:sz w:val="28"/>
          <w:szCs w:val="28"/>
        </w:rPr>
        <w:t>。2叶期前秧田坚持湿润灌溉。揭膜后每盘施用 4g 复合肥。3叶</w:t>
      </w:r>
      <w:r>
        <w:rPr>
          <w:rFonts w:hint="eastAsia" w:ascii="仿宋_GB2312" w:hAnsi="仿宋" w:eastAsia="仿宋_GB2312" w:cs="宋体"/>
          <w:sz w:val="28"/>
          <w:szCs w:val="28"/>
        </w:rPr>
        <w:t>-</w:t>
      </w:r>
      <w:r>
        <w:rPr>
          <w:rFonts w:ascii="仿宋_GB2312" w:hAnsi="仿宋" w:eastAsia="仿宋_GB2312" w:cs="宋体"/>
          <w:sz w:val="28"/>
          <w:szCs w:val="28"/>
        </w:rPr>
        <w:t>4叶期水分旱管。移栽前 2-3d施用送嫁肥。</w:t>
      </w:r>
    </w:p>
    <w:p>
      <w:pPr>
        <w:spacing w:line="360" w:lineRule="auto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drawing>
          <wp:inline distT="0" distB="0" distL="0" distR="0">
            <wp:extent cx="2647950" cy="2724150"/>
            <wp:effectExtent l="19050" t="0" r="0" b="0"/>
            <wp:docPr id="2" name="图片 2" descr="照片 0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照片 05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51287" cy="27275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hAnsi="仿宋" w:eastAsia="仿宋"/>
          <w:sz w:val="32"/>
          <w:szCs w:val="32"/>
        </w:rPr>
        <w:drawing>
          <wp:inline distT="0" distB="0" distL="0" distR="0">
            <wp:extent cx="2571750" cy="2724150"/>
            <wp:effectExtent l="19050" t="0" r="0" b="0"/>
            <wp:docPr id="1" name="图片 1" descr="E:\2019\Camera\IMG_20190507_0916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:\2019\Camera\IMG_20190507_09161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71719" cy="27241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spacing w:line="360" w:lineRule="auto"/>
        <w:ind w:firstLine="560" w:firstLineChars="200"/>
        <w:jc w:val="center"/>
        <w:rPr>
          <w:rFonts w:hint="eastAsia" w:ascii="仿宋_GB2312" w:hAnsi="仿宋" w:eastAsia="仿宋_GB2312" w:cs="宋体"/>
          <w:sz w:val="28"/>
          <w:szCs w:val="28"/>
        </w:rPr>
      </w:pPr>
      <w:r>
        <w:rPr>
          <w:rFonts w:hint="eastAsia" w:ascii="仿宋_GB2312" w:hAnsi="仿宋" w:eastAsia="仿宋_GB2312" w:cs="宋体"/>
          <w:sz w:val="28"/>
          <w:szCs w:val="28"/>
        </w:rPr>
        <w:t>图1 旱育壮秧（左）和钵盘育秧（右）长势</w:t>
      </w:r>
    </w:p>
    <w:p>
      <w:pPr>
        <w:snapToGrid w:val="0"/>
        <w:spacing w:line="56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（三）</w:t>
      </w:r>
      <w:r>
        <w:rPr>
          <w:rFonts w:ascii="楷体_GB2312" w:hAnsi="楷体_GB2312" w:eastAsia="楷体_GB2312" w:cs="楷体_GB2312"/>
          <w:sz w:val="32"/>
          <w:szCs w:val="32"/>
        </w:rPr>
        <w:t>合理移栽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" w:eastAsia="仿宋_GB2312" w:cs="宋体"/>
          <w:sz w:val="28"/>
          <w:szCs w:val="28"/>
        </w:rPr>
      </w:pPr>
      <w:r>
        <w:rPr>
          <w:rFonts w:ascii="仿宋_GB2312" w:hAnsi="仿宋" w:eastAsia="仿宋_GB2312" w:cs="宋体"/>
          <w:sz w:val="28"/>
          <w:szCs w:val="28"/>
        </w:rPr>
        <w:t>叶龄5叶期时进行移栽，秧龄一般为30-35</w:t>
      </w:r>
      <w:r>
        <w:rPr>
          <w:rFonts w:hint="eastAsia" w:ascii="仿宋_GB2312" w:hAnsi="仿宋" w:eastAsia="仿宋_GB2312" w:cs="宋体"/>
          <w:sz w:val="28"/>
          <w:szCs w:val="28"/>
        </w:rPr>
        <w:t>天</w:t>
      </w:r>
      <w:r>
        <w:rPr>
          <w:rFonts w:ascii="仿宋_GB2312" w:hAnsi="仿宋" w:eastAsia="仿宋_GB2312" w:cs="宋体"/>
          <w:sz w:val="28"/>
          <w:szCs w:val="28"/>
        </w:rPr>
        <w:t>。按照品种的分蘖类型与不同稻区目标产量有效穗，确定基本苗与移栽密度。</w:t>
      </w:r>
      <w:r>
        <w:rPr>
          <w:rFonts w:hint="eastAsia" w:ascii="仿宋_GB2312" w:hAnsi="仿宋" w:eastAsia="仿宋_GB2312" w:cs="宋体"/>
          <w:sz w:val="28"/>
          <w:szCs w:val="28"/>
        </w:rPr>
        <w:t>根据生产条件采用钵苗机插和人工移栽方式，</w:t>
      </w:r>
      <w:r>
        <w:rPr>
          <w:rFonts w:ascii="仿宋_GB2312" w:hAnsi="仿宋" w:eastAsia="仿宋_GB2312" w:cs="宋体"/>
          <w:sz w:val="28"/>
          <w:szCs w:val="28"/>
        </w:rPr>
        <w:t>推荐采取宽窄行移栽方式</w:t>
      </w:r>
      <w:r>
        <w:rPr>
          <w:rFonts w:hint="eastAsia" w:ascii="仿宋_GB2312" w:hAnsi="仿宋" w:eastAsia="仿宋_GB2312" w:cs="宋体"/>
          <w:sz w:val="28"/>
          <w:szCs w:val="28"/>
        </w:rPr>
        <w:t>，</w:t>
      </w:r>
      <w:r>
        <w:rPr>
          <w:rFonts w:ascii="仿宋_GB2312" w:hAnsi="仿宋" w:eastAsia="仿宋_GB2312" w:cs="宋体"/>
          <w:sz w:val="28"/>
          <w:szCs w:val="28"/>
        </w:rPr>
        <w:t>其规格为宽行36.7-43.3</w:t>
      </w:r>
      <w:r>
        <w:rPr>
          <w:rFonts w:hint="eastAsia" w:ascii="仿宋_GB2312" w:hAnsi="仿宋" w:eastAsia="仿宋_GB2312" w:cs="宋体"/>
          <w:sz w:val="28"/>
          <w:szCs w:val="28"/>
        </w:rPr>
        <w:t>厘米</w:t>
      </w:r>
      <w:r>
        <w:rPr>
          <w:rFonts w:ascii="仿宋_GB2312" w:hAnsi="仿宋" w:eastAsia="仿宋_GB2312" w:cs="宋体"/>
          <w:sz w:val="28"/>
          <w:szCs w:val="28"/>
        </w:rPr>
        <w:t>，窄行20</w:t>
      </w:r>
      <w:r>
        <w:rPr>
          <w:rFonts w:hint="eastAsia" w:ascii="仿宋_GB2312" w:hAnsi="仿宋" w:eastAsia="仿宋_GB2312" w:cs="宋体"/>
          <w:sz w:val="28"/>
          <w:szCs w:val="28"/>
        </w:rPr>
        <w:t>厘米</w:t>
      </w:r>
      <w:r>
        <w:rPr>
          <w:rFonts w:ascii="仿宋_GB2312" w:hAnsi="仿宋" w:eastAsia="仿宋_GB2312" w:cs="宋体"/>
          <w:sz w:val="28"/>
          <w:szCs w:val="28"/>
        </w:rPr>
        <w:t>左右，</w:t>
      </w:r>
      <w:r>
        <w:rPr>
          <w:rFonts w:hint="eastAsia" w:ascii="仿宋_GB2312" w:hAnsi="仿宋" w:eastAsia="仿宋_GB2312" w:cs="宋体"/>
          <w:sz w:val="28"/>
          <w:szCs w:val="28"/>
        </w:rPr>
        <w:t>株</w:t>
      </w:r>
      <w:r>
        <w:rPr>
          <w:rFonts w:ascii="仿宋_GB2312" w:hAnsi="仿宋" w:eastAsia="仿宋_GB2312" w:cs="宋体"/>
          <w:sz w:val="28"/>
          <w:szCs w:val="28"/>
        </w:rPr>
        <w:t>距16.7</w:t>
      </w:r>
      <w:r>
        <w:rPr>
          <w:rFonts w:hint="eastAsia" w:ascii="仿宋_GB2312" w:hAnsi="仿宋" w:eastAsia="仿宋_GB2312" w:cs="宋体"/>
          <w:sz w:val="28"/>
          <w:szCs w:val="28"/>
        </w:rPr>
        <w:t>厘米</w:t>
      </w:r>
      <w:r>
        <w:rPr>
          <w:rFonts w:ascii="仿宋_GB2312" w:hAnsi="仿宋" w:eastAsia="仿宋_GB2312" w:cs="宋体"/>
          <w:sz w:val="28"/>
          <w:szCs w:val="28"/>
        </w:rPr>
        <w:t>，杂交稻每穴栽2粒谷秧，常规稻3-4粒谷秧。</w:t>
      </w:r>
      <w:r>
        <w:rPr>
          <w:rFonts w:hint="eastAsia" w:ascii="仿宋_GB2312" w:hAnsi="仿宋" w:eastAsia="仿宋_GB2312" w:cs="宋体"/>
          <w:sz w:val="28"/>
          <w:szCs w:val="28"/>
        </w:rPr>
        <w:t>等行距移栽方式的行距为30厘米，株距为16.7厘米。</w:t>
      </w:r>
    </w:p>
    <w:p>
      <w:pPr>
        <w:spacing w:line="360" w:lineRule="auto"/>
        <w:jc w:val="left"/>
        <w:rPr>
          <w:rFonts w:hint="eastAsia" w:ascii="仿宋" w:hAnsi="仿宋" w:eastAsia="仿宋"/>
          <w:color w:val="FF0000"/>
          <w:sz w:val="32"/>
          <w:szCs w:val="32"/>
        </w:rPr>
      </w:pPr>
      <w:r>
        <w:rPr>
          <w:rFonts w:ascii="仿宋" w:hAnsi="仿宋" w:eastAsia="仿宋"/>
          <w:color w:val="FF0000"/>
          <w:sz w:val="32"/>
          <w:szCs w:val="32"/>
        </w:rPr>
        <w:drawing>
          <wp:inline distT="0" distB="0" distL="0" distR="0">
            <wp:extent cx="2647950" cy="2724150"/>
            <wp:effectExtent l="19050" t="0" r="0" b="0"/>
            <wp:docPr id="5" name="图片 5" descr="SDC12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SDC1216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51288" cy="2727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hAnsi="仿宋" w:eastAsia="仿宋"/>
          <w:color w:val="FF0000"/>
          <w:sz w:val="32"/>
          <w:szCs w:val="32"/>
        </w:rPr>
        <w:drawing>
          <wp:inline distT="0" distB="0" distL="0" distR="0">
            <wp:extent cx="2571750" cy="2724150"/>
            <wp:effectExtent l="19050" t="0" r="0" b="0"/>
            <wp:docPr id="4" name="图片 2" descr="E:\2019\Camera\IMG_20190507_1656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E:\2019\Camera\IMG_20190507_16563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73595" cy="27261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" w:eastAsia="仿宋_GB2312" w:cs="宋体"/>
          <w:sz w:val="28"/>
          <w:szCs w:val="28"/>
        </w:rPr>
      </w:pPr>
      <w:r>
        <w:rPr>
          <w:rFonts w:hint="eastAsia" w:ascii="仿宋_GB2312" w:hAnsi="仿宋" w:eastAsia="仿宋_GB2312" w:cs="宋体"/>
          <w:sz w:val="28"/>
          <w:szCs w:val="28"/>
        </w:rPr>
        <w:t>图2 宽窄行拉绳打点人工移栽（左）及宽窄行钵苗机插（右）</w:t>
      </w:r>
    </w:p>
    <w:p>
      <w:pPr>
        <w:snapToGrid w:val="0"/>
        <w:spacing w:line="56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（四）</w:t>
      </w:r>
      <w:r>
        <w:rPr>
          <w:rFonts w:ascii="楷体_GB2312" w:hAnsi="楷体_GB2312" w:eastAsia="楷体_GB2312" w:cs="楷体_GB2312"/>
          <w:sz w:val="32"/>
          <w:szCs w:val="32"/>
        </w:rPr>
        <w:t>精确施肥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" w:eastAsia="仿宋_GB2312" w:cs="宋体"/>
          <w:sz w:val="28"/>
          <w:szCs w:val="28"/>
        </w:rPr>
      </w:pPr>
      <w:r>
        <w:rPr>
          <w:rFonts w:hint="eastAsia" w:ascii="仿宋_GB2312" w:hAnsi="仿宋" w:eastAsia="仿宋_GB2312" w:cs="宋体"/>
          <w:sz w:val="28"/>
          <w:szCs w:val="28"/>
        </w:rPr>
        <w:t>总的原则是：施足底肥，早施分蘖肥，氮素前肥后移作穗肥，氮、磷、钾平衡施用。在不施用有机肥的条件下氮、磷、钾的优化配方为</w:t>
      </w:r>
      <w:r>
        <w:rPr>
          <w:rFonts w:ascii="仿宋_GB2312" w:hAnsi="仿宋" w:eastAsia="仿宋_GB2312" w:cs="宋体"/>
          <w:sz w:val="28"/>
          <w:szCs w:val="28"/>
        </w:rPr>
        <w:t>N</w:t>
      </w:r>
      <w:r>
        <w:rPr>
          <w:rFonts w:hint="eastAsia" w:ascii="仿宋_GB2312" w:hAnsi="仿宋" w:eastAsia="仿宋_GB2312" w:cs="宋体"/>
          <w:sz w:val="28"/>
          <w:szCs w:val="28"/>
        </w:rPr>
        <w:t>：</w:t>
      </w:r>
      <w:r>
        <w:rPr>
          <w:rFonts w:ascii="仿宋_GB2312" w:hAnsi="仿宋" w:eastAsia="仿宋_GB2312" w:cs="宋体"/>
          <w:sz w:val="28"/>
          <w:szCs w:val="28"/>
        </w:rPr>
        <w:t>P</w:t>
      </w:r>
      <w:r>
        <w:rPr>
          <w:rFonts w:hint="eastAsia" w:ascii="仿宋_GB2312" w:hAnsi="仿宋" w:eastAsia="仿宋_GB2312" w:cs="宋体"/>
          <w:sz w:val="28"/>
          <w:szCs w:val="28"/>
        </w:rPr>
        <w:t>：</w:t>
      </w:r>
      <w:r>
        <w:rPr>
          <w:rFonts w:ascii="仿宋_GB2312" w:hAnsi="仿宋" w:eastAsia="仿宋_GB2312" w:cs="宋体"/>
          <w:sz w:val="28"/>
          <w:szCs w:val="28"/>
        </w:rPr>
        <w:t>K=1</w:t>
      </w:r>
      <w:r>
        <w:rPr>
          <w:rFonts w:hint="eastAsia" w:ascii="仿宋_GB2312" w:hAnsi="仿宋" w:eastAsia="仿宋_GB2312" w:cs="宋体"/>
          <w:sz w:val="28"/>
          <w:szCs w:val="28"/>
        </w:rPr>
        <w:t>：</w:t>
      </w:r>
      <w:r>
        <w:rPr>
          <w:rFonts w:ascii="仿宋_GB2312" w:hAnsi="仿宋" w:eastAsia="仿宋_GB2312" w:cs="宋体"/>
          <w:sz w:val="28"/>
          <w:szCs w:val="28"/>
        </w:rPr>
        <w:t>0.5</w:t>
      </w:r>
      <w:r>
        <w:rPr>
          <w:rFonts w:hint="eastAsia" w:ascii="仿宋_GB2312" w:hAnsi="仿宋" w:eastAsia="仿宋_GB2312" w:cs="宋体"/>
          <w:sz w:val="28"/>
          <w:szCs w:val="28"/>
        </w:rPr>
        <w:t>：</w:t>
      </w:r>
      <w:r>
        <w:rPr>
          <w:rFonts w:ascii="仿宋_GB2312" w:hAnsi="仿宋" w:eastAsia="仿宋_GB2312" w:cs="宋体"/>
          <w:sz w:val="28"/>
          <w:szCs w:val="28"/>
        </w:rPr>
        <w:t>1</w:t>
      </w:r>
      <w:r>
        <w:rPr>
          <w:rFonts w:hint="eastAsia" w:ascii="仿宋_GB2312" w:hAnsi="仿宋" w:eastAsia="仿宋_GB2312" w:cs="宋体"/>
          <w:sz w:val="28"/>
          <w:szCs w:val="28"/>
        </w:rPr>
        <w:t>，在施用有机肥条件下氮、磷、钾的优化配方为</w:t>
      </w:r>
      <w:r>
        <w:rPr>
          <w:rFonts w:ascii="仿宋_GB2312" w:hAnsi="仿宋" w:eastAsia="仿宋_GB2312" w:cs="宋体"/>
          <w:sz w:val="28"/>
          <w:szCs w:val="28"/>
        </w:rPr>
        <w:t>N</w:t>
      </w:r>
      <w:r>
        <w:rPr>
          <w:rFonts w:hint="eastAsia" w:ascii="仿宋_GB2312" w:hAnsi="仿宋" w:eastAsia="仿宋_GB2312" w:cs="宋体"/>
          <w:sz w:val="28"/>
          <w:szCs w:val="28"/>
        </w:rPr>
        <w:t>：</w:t>
      </w:r>
      <w:r>
        <w:rPr>
          <w:rFonts w:ascii="仿宋_GB2312" w:hAnsi="仿宋" w:eastAsia="仿宋_GB2312" w:cs="宋体"/>
          <w:sz w:val="28"/>
          <w:szCs w:val="28"/>
        </w:rPr>
        <w:t>P</w:t>
      </w:r>
      <w:r>
        <w:rPr>
          <w:rFonts w:hint="eastAsia" w:ascii="仿宋_GB2312" w:hAnsi="仿宋" w:eastAsia="仿宋_GB2312" w:cs="宋体"/>
          <w:sz w:val="28"/>
          <w:szCs w:val="28"/>
        </w:rPr>
        <w:t>：</w:t>
      </w:r>
      <w:r>
        <w:rPr>
          <w:rFonts w:ascii="仿宋_GB2312" w:hAnsi="仿宋" w:eastAsia="仿宋_GB2312" w:cs="宋体"/>
          <w:sz w:val="28"/>
          <w:szCs w:val="28"/>
        </w:rPr>
        <w:t>K=1</w:t>
      </w:r>
      <w:r>
        <w:rPr>
          <w:rFonts w:hint="eastAsia" w:ascii="仿宋_GB2312" w:hAnsi="仿宋" w:eastAsia="仿宋_GB2312" w:cs="宋体"/>
          <w:sz w:val="28"/>
          <w:szCs w:val="28"/>
        </w:rPr>
        <w:t>：</w:t>
      </w:r>
      <w:r>
        <w:rPr>
          <w:rFonts w:ascii="仿宋_GB2312" w:hAnsi="仿宋" w:eastAsia="仿宋_GB2312" w:cs="宋体"/>
          <w:sz w:val="28"/>
          <w:szCs w:val="28"/>
        </w:rPr>
        <w:t>0.5</w:t>
      </w:r>
      <w:r>
        <w:rPr>
          <w:rFonts w:hint="eastAsia" w:ascii="仿宋_GB2312" w:hAnsi="仿宋" w:eastAsia="仿宋_GB2312" w:cs="宋体"/>
          <w:sz w:val="28"/>
          <w:szCs w:val="28"/>
        </w:rPr>
        <w:t>：</w:t>
      </w:r>
      <w:r>
        <w:rPr>
          <w:rFonts w:ascii="仿宋_GB2312" w:hAnsi="仿宋" w:eastAsia="仿宋_GB2312" w:cs="宋体"/>
          <w:sz w:val="28"/>
          <w:szCs w:val="28"/>
        </w:rPr>
        <w:t>0.7</w:t>
      </w:r>
      <w:r>
        <w:rPr>
          <w:rFonts w:hint="eastAsia" w:ascii="仿宋_GB2312" w:hAnsi="仿宋" w:eastAsia="仿宋_GB2312" w:cs="宋体"/>
          <w:sz w:val="28"/>
          <w:szCs w:val="28"/>
        </w:rPr>
        <w:t>。根据目标产量确定用肥总量，目标亩产量为700-800公斤时，</w:t>
      </w:r>
      <w:r>
        <w:rPr>
          <w:rFonts w:ascii="仿宋_GB2312" w:hAnsi="仿宋" w:eastAsia="仿宋_GB2312" w:cs="宋体"/>
          <w:sz w:val="28"/>
          <w:szCs w:val="28"/>
        </w:rPr>
        <w:t>氮肥纯氮总量10-12.5</w:t>
      </w:r>
      <w:r>
        <w:rPr>
          <w:rFonts w:hint="eastAsia" w:ascii="仿宋_GB2312" w:hAnsi="仿宋" w:eastAsia="仿宋_GB2312" w:cs="宋体"/>
          <w:sz w:val="28"/>
          <w:szCs w:val="28"/>
        </w:rPr>
        <w:t>公斤</w:t>
      </w:r>
      <w:r>
        <w:rPr>
          <w:rFonts w:ascii="仿宋_GB2312" w:hAnsi="仿宋" w:eastAsia="仿宋_GB2312" w:cs="宋体"/>
          <w:sz w:val="28"/>
          <w:szCs w:val="28"/>
        </w:rPr>
        <w:t>/亩，</w:t>
      </w:r>
      <w:r>
        <w:rPr>
          <w:rFonts w:hint="eastAsia" w:ascii="仿宋_GB2312" w:hAnsi="仿宋" w:eastAsia="仿宋_GB2312" w:cs="宋体"/>
          <w:sz w:val="28"/>
          <w:szCs w:val="28"/>
        </w:rPr>
        <w:t>基蘖肥与穗肥比例一般为1:1，其中氮肥的基肥和分蘖肥各占60%和40%，</w:t>
      </w:r>
      <w:r>
        <w:rPr>
          <w:rFonts w:ascii="仿宋_GB2312" w:hAnsi="仿宋" w:eastAsia="仿宋_GB2312" w:cs="宋体"/>
          <w:sz w:val="28"/>
          <w:szCs w:val="28"/>
        </w:rPr>
        <w:t>穗肥</w:t>
      </w:r>
      <w:r>
        <w:rPr>
          <w:rFonts w:hint="eastAsia" w:ascii="仿宋_GB2312" w:hAnsi="仿宋" w:eastAsia="仿宋_GB2312" w:cs="宋体"/>
          <w:sz w:val="28"/>
          <w:szCs w:val="28"/>
        </w:rPr>
        <w:t>一般施两次，各占60%和40%，</w:t>
      </w:r>
      <w:r>
        <w:rPr>
          <w:rFonts w:ascii="仿宋_GB2312" w:hAnsi="仿宋" w:eastAsia="仿宋_GB2312" w:cs="宋体"/>
          <w:sz w:val="28"/>
          <w:szCs w:val="28"/>
        </w:rPr>
        <w:t>钾肥分基肥和拔节肥两次</w:t>
      </w:r>
      <w:r>
        <w:rPr>
          <w:rFonts w:hint="eastAsia" w:ascii="仿宋_GB2312" w:hAnsi="仿宋" w:eastAsia="仿宋_GB2312" w:cs="宋体"/>
          <w:sz w:val="28"/>
          <w:szCs w:val="28"/>
        </w:rPr>
        <w:t>等量施用</w:t>
      </w:r>
      <w:r>
        <w:rPr>
          <w:rFonts w:ascii="仿宋_GB2312" w:hAnsi="仿宋" w:eastAsia="仿宋_GB2312" w:cs="宋体"/>
          <w:sz w:val="28"/>
          <w:szCs w:val="28"/>
        </w:rPr>
        <w:t>，磷肥全作底肥施用</w:t>
      </w:r>
      <w:r>
        <w:rPr>
          <w:rFonts w:hint="eastAsia" w:ascii="仿宋_GB2312" w:hAnsi="仿宋" w:eastAsia="仿宋_GB2312" w:cs="宋体"/>
          <w:sz w:val="28"/>
          <w:szCs w:val="28"/>
        </w:rPr>
        <w:t>。</w:t>
      </w:r>
      <w:r>
        <w:rPr>
          <w:rFonts w:ascii="仿宋_GB2312" w:hAnsi="仿宋" w:eastAsia="仿宋_GB2312" w:cs="宋体"/>
          <w:sz w:val="28"/>
          <w:szCs w:val="28"/>
        </w:rPr>
        <w:t>于栽插后5</w:t>
      </w:r>
      <w:r>
        <w:rPr>
          <w:rFonts w:hint="eastAsia" w:ascii="仿宋_GB2312" w:hAnsi="仿宋" w:eastAsia="仿宋_GB2312" w:cs="宋体"/>
          <w:sz w:val="28"/>
          <w:szCs w:val="28"/>
        </w:rPr>
        <w:t>-7天</w:t>
      </w:r>
      <w:r>
        <w:rPr>
          <w:rFonts w:ascii="仿宋_GB2312" w:hAnsi="仿宋" w:eastAsia="仿宋_GB2312" w:cs="宋体"/>
          <w:sz w:val="28"/>
          <w:szCs w:val="28"/>
        </w:rPr>
        <w:t>施用分蘖肥，</w:t>
      </w:r>
      <w:r>
        <w:rPr>
          <w:rFonts w:hint="eastAsia" w:ascii="仿宋_GB2312" w:hAnsi="仿宋" w:eastAsia="仿宋_GB2312" w:cs="宋体"/>
          <w:sz w:val="28"/>
          <w:szCs w:val="28"/>
        </w:rPr>
        <w:t>倒4叶（葫芦叶出现）时顶4叶叶色与顶3叶叶色相当或略淡，即可施用穗肥，如顶4叶叶色偏深则推迟穗肥施用时间或减少穗肥用量。</w:t>
      </w:r>
    </w:p>
    <w:p>
      <w:pPr>
        <w:snapToGrid w:val="0"/>
        <w:spacing w:line="56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（五）</w:t>
      </w:r>
      <w:r>
        <w:rPr>
          <w:rFonts w:ascii="楷体_GB2312" w:hAnsi="楷体_GB2312" w:eastAsia="楷体_GB2312" w:cs="楷体_GB2312"/>
          <w:sz w:val="32"/>
          <w:szCs w:val="32"/>
        </w:rPr>
        <w:t>水分管理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" w:eastAsia="仿宋_GB2312" w:cs="宋体"/>
          <w:sz w:val="28"/>
          <w:szCs w:val="28"/>
        </w:rPr>
      </w:pPr>
      <w:r>
        <w:rPr>
          <w:rFonts w:ascii="仿宋_GB2312" w:hAnsi="仿宋" w:eastAsia="仿宋_GB2312" w:cs="宋体"/>
          <w:sz w:val="28"/>
          <w:szCs w:val="28"/>
        </w:rPr>
        <w:t>浅水插秧，移栽后保持浅水7</w:t>
      </w:r>
      <w:r>
        <w:rPr>
          <w:rFonts w:hint="eastAsia" w:ascii="仿宋_GB2312" w:hAnsi="仿宋" w:eastAsia="仿宋_GB2312" w:cs="宋体"/>
          <w:sz w:val="28"/>
          <w:szCs w:val="28"/>
        </w:rPr>
        <w:t>天</w:t>
      </w:r>
      <w:r>
        <w:rPr>
          <w:rFonts w:ascii="仿宋_GB2312" w:hAnsi="仿宋" w:eastAsia="仿宋_GB2312" w:cs="宋体"/>
          <w:sz w:val="28"/>
          <w:szCs w:val="28"/>
        </w:rPr>
        <w:t>，自然落干，分蘖期保持土壤湿润，分蘖数达目标穗数的80％开始晒田控苗，</w:t>
      </w:r>
      <w:r>
        <w:rPr>
          <w:rFonts w:hint="eastAsia" w:ascii="仿宋_GB2312" w:hAnsi="仿宋" w:eastAsia="仿宋_GB2312" w:cs="宋体"/>
          <w:sz w:val="28"/>
          <w:szCs w:val="28"/>
        </w:rPr>
        <w:t>搁田标准以土壤板实、有裂缝，行走不陷脚为度，稻株形态以叶色落黄。搁田结束后及时复水。</w:t>
      </w:r>
      <w:r>
        <w:rPr>
          <w:rFonts w:ascii="仿宋_GB2312" w:hAnsi="仿宋" w:eastAsia="仿宋_GB2312" w:cs="宋体"/>
          <w:sz w:val="28"/>
          <w:szCs w:val="28"/>
        </w:rPr>
        <w:t>拔节至孕穗期保持薄水层，灌浆结实期</w:t>
      </w:r>
      <w:r>
        <w:rPr>
          <w:rFonts w:hint="eastAsia" w:ascii="仿宋_GB2312" w:hAnsi="仿宋" w:eastAsia="仿宋_GB2312" w:cs="宋体"/>
          <w:sz w:val="28"/>
          <w:szCs w:val="28"/>
        </w:rPr>
        <w:t>进行</w:t>
      </w:r>
      <w:r>
        <w:rPr>
          <w:rFonts w:ascii="仿宋_GB2312" w:hAnsi="仿宋" w:eastAsia="仿宋_GB2312" w:cs="宋体"/>
          <w:sz w:val="28"/>
          <w:szCs w:val="28"/>
        </w:rPr>
        <w:t>干湿交替灌溉，一直保持到成熟。</w:t>
      </w:r>
    </w:p>
    <w:p>
      <w:pPr>
        <w:snapToGrid w:val="0"/>
        <w:spacing w:line="56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（六）</w:t>
      </w:r>
      <w:r>
        <w:rPr>
          <w:rFonts w:ascii="楷体_GB2312" w:hAnsi="楷体_GB2312" w:eastAsia="楷体_GB2312" w:cs="楷体_GB2312"/>
          <w:sz w:val="32"/>
          <w:szCs w:val="32"/>
        </w:rPr>
        <w:t>病虫害防治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" w:eastAsia="仿宋_GB2312" w:cs="宋体"/>
          <w:sz w:val="28"/>
          <w:szCs w:val="28"/>
        </w:rPr>
      </w:pPr>
      <w:r>
        <w:rPr>
          <w:rFonts w:ascii="仿宋_GB2312" w:hAnsi="仿宋" w:eastAsia="仿宋_GB2312" w:cs="宋体"/>
          <w:sz w:val="28"/>
          <w:szCs w:val="28"/>
        </w:rPr>
        <w:t>坚持“预防为主，综合防治”的方针。水稻分蘖期</w:t>
      </w:r>
      <w:r>
        <w:rPr>
          <w:rFonts w:hint="eastAsia" w:ascii="仿宋_GB2312" w:hAnsi="仿宋" w:eastAsia="仿宋_GB2312" w:cs="宋体"/>
          <w:sz w:val="28"/>
          <w:szCs w:val="28"/>
        </w:rPr>
        <w:t>重点</w:t>
      </w:r>
      <w:r>
        <w:rPr>
          <w:rFonts w:ascii="仿宋_GB2312" w:hAnsi="仿宋" w:eastAsia="仿宋_GB2312" w:cs="宋体"/>
          <w:sz w:val="28"/>
          <w:szCs w:val="28"/>
        </w:rPr>
        <w:t>防治稻飞虱</w:t>
      </w:r>
      <w:r>
        <w:rPr>
          <w:rFonts w:hint="eastAsia" w:ascii="仿宋_GB2312" w:hAnsi="仿宋" w:eastAsia="仿宋_GB2312" w:cs="宋体"/>
          <w:sz w:val="28"/>
          <w:szCs w:val="28"/>
        </w:rPr>
        <w:t>、</w:t>
      </w:r>
      <w:r>
        <w:rPr>
          <w:rFonts w:ascii="仿宋_GB2312" w:hAnsi="仿宋" w:eastAsia="仿宋_GB2312" w:cs="宋体"/>
          <w:sz w:val="28"/>
          <w:szCs w:val="28"/>
        </w:rPr>
        <w:t>稻纵卷叶螟</w:t>
      </w:r>
      <w:r>
        <w:rPr>
          <w:rFonts w:hint="eastAsia" w:ascii="仿宋_GB2312" w:hAnsi="仿宋" w:eastAsia="仿宋_GB2312" w:cs="宋体"/>
          <w:sz w:val="28"/>
          <w:szCs w:val="28"/>
        </w:rPr>
        <w:t>，</w:t>
      </w:r>
      <w:r>
        <w:rPr>
          <w:rFonts w:ascii="仿宋_GB2312" w:hAnsi="仿宋" w:eastAsia="仿宋_GB2312" w:cs="宋体"/>
          <w:sz w:val="28"/>
          <w:szCs w:val="28"/>
        </w:rPr>
        <w:t>水稻破口抽穗前注意防治稻曲病，在水稻破口期和齐穗期选用三环唑等喷雾防治稻瘟病，抽穗后用井冈霉素等防治纹枯病；同时防治稻飞虱、二化螟和稻纵卷叶螟等虫害。</w:t>
      </w:r>
    </w:p>
    <w:p>
      <w:pPr>
        <w:snapToGrid w:val="0"/>
        <w:spacing w:line="56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（七）收割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" w:eastAsia="仿宋_GB2312" w:cs="宋体"/>
          <w:sz w:val="28"/>
          <w:szCs w:val="28"/>
        </w:rPr>
      </w:pPr>
      <w:r>
        <w:rPr>
          <w:rFonts w:hint="eastAsia" w:ascii="仿宋_GB2312" w:hAnsi="仿宋" w:eastAsia="仿宋_GB2312" w:cs="宋体"/>
          <w:sz w:val="28"/>
          <w:szCs w:val="28"/>
        </w:rPr>
        <w:t>一般情况在收割前7天排水晒田，当85%的谷粒黄熟时即可收割。</w:t>
      </w:r>
    </w:p>
    <w:p>
      <w:pPr>
        <w:adjustRightInd w:val="0"/>
        <w:snapToGrid w:val="0"/>
        <w:spacing w:line="600" w:lineRule="exact"/>
        <w:ind w:firstLine="64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三、适宜区域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" w:eastAsia="仿宋_GB2312" w:cs="宋体"/>
          <w:sz w:val="28"/>
          <w:szCs w:val="28"/>
        </w:rPr>
      </w:pPr>
      <w:r>
        <w:rPr>
          <w:rFonts w:hint="eastAsia" w:ascii="仿宋_GB2312" w:hAnsi="仿宋" w:eastAsia="仿宋_GB2312" w:cs="宋体"/>
          <w:sz w:val="28"/>
          <w:szCs w:val="28"/>
        </w:rPr>
        <w:t>西南两熟制杂交籼稻区。</w:t>
      </w:r>
    </w:p>
    <w:p>
      <w:pPr>
        <w:adjustRightInd w:val="0"/>
        <w:snapToGrid w:val="0"/>
        <w:spacing w:line="600" w:lineRule="exact"/>
        <w:ind w:firstLine="64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四、注意事项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" w:eastAsia="仿宋_GB2312" w:cs="宋体"/>
          <w:sz w:val="28"/>
          <w:szCs w:val="28"/>
        </w:rPr>
      </w:pPr>
      <w:r>
        <w:rPr>
          <w:rFonts w:ascii="仿宋_GB2312" w:hAnsi="仿宋" w:eastAsia="仿宋_GB2312" w:cs="宋体"/>
          <w:sz w:val="28"/>
          <w:szCs w:val="28"/>
        </w:rPr>
        <w:t>应用过程中，应特别注意</w:t>
      </w:r>
      <w:r>
        <w:rPr>
          <w:rFonts w:hint="eastAsia" w:ascii="仿宋_GB2312" w:hAnsi="仿宋" w:eastAsia="仿宋_GB2312" w:cs="宋体"/>
          <w:sz w:val="28"/>
          <w:szCs w:val="28"/>
        </w:rPr>
        <w:t>水肥</w:t>
      </w:r>
      <w:r>
        <w:rPr>
          <w:rFonts w:ascii="仿宋_GB2312" w:hAnsi="仿宋" w:eastAsia="仿宋_GB2312" w:cs="宋体"/>
          <w:sz w:val="28"/>
          <w:szCs w:val="28"/>
        </w:rPr>
        <w:t>管理，当</w:t>
      </w:r>
      <w:r>
        <w:rPr>
          <w:rFonts w:hint="eastAsia" w:ascii="仿宋_GB2312" w:hAnsi="仿宋" w:eastAsia="仿宋_GB2312" w:cs="宋体"/>
          <w:sz w:val="28"/>
          <w:szCs w:val="28"/>
        </w:rPr>
        <w:t>秧苗茎蘖数达目标穗数80%时，及时晒田控苗，可分次轻搁，晒田结束后及时复水</w:t>
      </w:r>
      <w:r>
        <w:rPr>
          <w:rFonts w:ascii="仿宋_GB2312" w:hAnsi="仿宋" w:eastAsia="仿宋_GB2312" w:cs="宋体"/>
          <w:sz w:val="28"/>
          <w:szCs w:val="28"/>
        </w:rPr>
        <w:t>。同时应准确掌握穗肥施用时间和用量</w:t>
      </w:r>
      <w:r>
        <w:rPr>
          <w:rFonts w:hint="eastAsia" w:ascii="仿宋_GB2312" w:hAnsi="仿宋" w:eastAsia="仿宋_GB2312" w:cs="宋体"/>
          <w:sz w:val="28"/>
          <w:szCs w:val="28"/>
        </w:rPr>
        <w:t>，在倒4叶叶龄期（拔节长穗期）施用穗肥，如群体颜色褪淡、叶片挺立则正常施用穗肥，如群体颜色较深、叶片披散则减少穗肥用量或不施。</w:t>
      </w:r>
    </w:p>
    <w:p>
      <w:pPr>
        <w:snapToGrid w:val="0"/>
        <w:spacing w:line="560" w:lineRule="exact"/>
        <w:ind w:firstLine="640" w:firstLineChars="200"/>
        <w:rPr>
          <w:rFonts w:ascii="Times New Roman" w:hAnsi="Times New Roman" w:eastAsia="黑体"/>
          <w:color w:val="000000"/>
          <w:sz w:val="36"/>
          <w:szCs w:val="36"/>
        </w:rPr>
      </w:pPr>
      <w:r>
        <w:rPr>
          <w:rFonts w:ascii="Times New Roman" w:hAnsi="Times New Roman" w:eastAsia="黑体"/>
          <w:sz w:val="32"/>
          <w:szCs w:val="32"/>
        </w:rPr>
        <w:t>五、技术依托单位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" w:eastAsia="仿宋_GB2312" w:cs="宋体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单位名称：</w:t>
      </w:r>
      <w:r>
        <w:rPr>
          <w:rFonts w:ascii="仿宋_GB2312" w:hAnsi="仿宋" w:eastAsia="仿宋_GB2312" w:cs="宋体"/>
          <w:sz w:val="28"/>
          <w:szCs w:val="28"/>
        </w:rPr>
        <w:t>贵州省</w:t>
      </w:r>
      <w:r>
        <w:rPr>
          <w:rFonts w:hint="eastAsia" w:ascii="仿宋_GB2312" w:hAnsi="仿宋" w:eastAsia="仿宋_GB2312" w:cs="宋体"/>
          <w:sz w:val="28"/>
          <w:szCs w:val="28"/>
        </w:rPr>
        <w:t>水稻研究所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" w:eastAsia="仿宋_GB2312" w:cs="宋体"/>
          <w:sz w:val="28"/>
          <w:szCs w:val="28"/>
        </w:rPr>
      </w:pPr>
      <w:r>
        <w:rPr>
          <w:rFonts w:hint="eastAsia" w:ascii="仿宋_GB2312" w:hAnsi="仿宋" w:eastAsia="仿宋_GB2312" w:cs="宋体"/>
          <w:sz w:val="28"/>
          <w:szCs w:val="28"/>
        </w:rPr>
        <w:t>联系地址：贵阳市花溪区金欣社区省农科院水稻研究所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" w:eastAsia="仿宋_GB2312" w:cs="宋体"/>
          <w:sz w:val="28"/>
          <w:szCs w:val="28"/>
        </w:rPr>
      </w:pPr>
      <w:r>
        <w:rPr>
          <w:rFonts w:hint="eastAsia" w:ascii="仿宋_GB2312" w:hAnsi="仿宋" w:eastAsia="仿宋_GB2312" w:cs="宋体"/>
          <w:sz w:val="28"/>
          <w:szCs w:val="28"/>
        </w:rPr>
        <w:t>邮政编码：550006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" w:eastAsia="仿宋_GB2312" w:cs="宋体"/>
          <w:sz w:val="28"/>
          <w:szCs w:val="28"/>
        </w:rPr>
      </w:pPr>
      <w:r>
        <w:rPr>
          <w:rFonts w:hint="eastAsia" w:ascii="仿宋_GB2312" w:hAnsi="仿宋" w:eastAsia="仿宋_GB2312" w:cs="宋体"/>
          <w:sz w:val="28"/>
          <w:szCs w:val="28"/>
        </w:rPr>
        <w:t>联系人：李敏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" w:eastAsia="仿宋_GB2312" w:cs="宋体"/>
          <w:sz w:val="28"/>
          <w:szCs w:val="28"/>
        </w:rPr>
      </w:pPr>
      <w:r>
        <w:rPr>
          <w:rFonts w:hint="eastAsia" w:ascii="仿宋_GB2312" w:hAnsi="仿宋" w:eastAsia="仿宋_GB2312" w:cs="宋体"/>
          <w:sz w:val="28"/>
          <w:szCs w:val="28"/>
        </w:rPr>
        <w:t>联系电话：1</w:t>
      </w:r>
      <w:r>
        <w:rPr>
          <w:rFonts w:ascii="仿宋_GB2312" w:hAnsi="仿宋" w:eastAsia="仿宋_GB2312" w:cs="宋体"/>
          <w:sz w:val="28"/>
          <w:szCs w:val="28"/>
        </w:rPr>
        <w:t>82</w:t>
      </w:r>
      <w:r>
        <w:rPr>
          <w:rFonts w:hint="eastAsia" w:ascii="仿宋_GB2312" w:hAnsi="仿宋" w:eastAsia="仿宋_GB2312" w:cs="宋体"/>
          <w:sz w:val="28"/>
          <w:szCs w:val="28"/>
        </w:rPr>
        <w:t>75229616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" w:eastAsia="仿宋_GB2312" w:cs="宋体"/>
          <w:sz w:val="28"/>
          <w:szCs w:val="28"/>
        </w:rPr>
      </w:pPr>
      <w:r>
        <w:rPr>
          <w:rFonts w:hint="eastAsia" w:ascii="仿宋_GB2312" w:hAnsi="仿宋" w:eastAsia="仿宋_GB2312" w:cs="宋体"/>
          <w:sz w:val="28"/>
          <w:szCs w:val="28"/>
        </w:rPr>
        <w:t>电子信箱：2</w:t>
      </w:r>
      <w:r>
        <w:rPr>
          <w:rFonts w:ascii="仿宋_GB2312" w:hAnsi="仿宋" w:eastAsia="仿宋_GB2312" w:cs="宋体"/>
          <w:sz w:val="28"/>
          <w:szCs w:val="28"/>
        </w:rPr>
        <w:t>33652981@qq.com</w:t>
      </w:r>
    </w:p>
    <w:p>
      <w:pPr>
        <w:autoSpaceDE w:val="0"/>
        <w:autoSpaceDN w:val="0"/>
        <w:adjustRightInd w:val="0"/>
        <w:spacing w:line="360" w:lineRule="auto"/>
        <w:rPr>
          <w:rFonts w:ascii="Times New Roman" w:hAnsi="Times New Roma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uxi Sans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altName w:val="DejaVu Sans"/>
    <w:panose1 w:val="020B0604030504040204"/>
    <w:charset w:val="00"/>
    <w:family w:val="swiss"/>
    <w:pitch w:val="default"/>
    <w:sig w:usb0="00000000" w:usb1="00000000" w:usb2="00000010" w:usb3="00000000" w:csb0="0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dit="readOnly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yNzE3ZGE2ZWY2MzUzOGQwZDcwN2JiZjlmMDA2OTMifQ=="/>
  </w:docVars>
  <w:rsids>
    <w:rsidRoot w:val="003142E4"/>
    <w:rsid w:val="00084EC4"/>
    <w:rsid w:val="000E26FF"/>
    <w:rsid w:val="00106280"/>
    <w:rsid w:val="001150FB"/>
    <w:rsid w:val="0012708B"/>
    <w:rsid w:val="00140164"/>
    <w:rsid w:val="001D32A3"/>
    <w:rsid w:val="002445DC"/>
    <w:rsid w:val="0025253C"/>
    <w:rsid w:val="002735B6"/>
    <w:rsid w:val="00290811"/>
    <w:rsid w:val="002E6BAA"/>
    <w:rsid w:val="003142E4"/>
    <w:rsid w:val="00346A0C"/>
    <w:rsid w:val="00380B38"/>
    <w:rsid w:val="00381AFF"/>
    <w:rsid w:val="003C2937"/>
    <w:rsid w:val="00437E6B"/>
    <w:rsid w:val="004B42BE"/>
    <w:rsid w:val="00533E09"/>
    <w:rsid w:val="00561322"/>
    <w:rsid w:val="00563F30"/>
    <w:rsid w:val="00600CEB"/>
    <w:rsid w:val="006526FF"/>
    <w:rsid w:val="00660808"/>
    <w:rsid w:val="00670CB5"/>
    <w:rsid w:val="00687A85"/>
    <w:rsid w:val="006A5F04"/>
    <w:rsid w:val="00741A06"/>
    <w:rsid w:val="008707E9"/>
    <w:rsid w:val="008A55FC"/>
    <w:rsid w:val="008A7DEC"/>
    <w:rsid w:val="008B2459"/>
    <w:rsid w:val="008F7CBD"/>
    <w:rsid w:val="009518B3"/>
    <w:rsid w:val="00956FFB"/>
    <w:rsid w:val="009D0728"/>
    <w:rsid w:val="009E0CB1"/>
    <w:rsid w:val="009F6218"/>
    <w:rsid w:val="00AD5065"/>
    <w:rsid w:val="00B650FE"/>
    <w:rsid w:val="00B91815"/>
    <w:rsid w:val="00B941F0"/>
    <w:rsid w:val="00BC737F"/>
    <w:rsid w:val="00BE71C1"/>
    <w:rsid w:val="00C65CE6"/>
    <w:rsid w:val="00C75D48"/>
    <w:rsid w:val="00C75DA7"/>
    <w:rsid w:val="00CA43F0"/>
    <w:rsid w:val="00D07D4A"/>
    <w:rsid w:val="00D50EF3"/>
    <w:rsid w:val="00D8519E"/>
    <w:rsid w:val="00DD4BEE"/>
    <w:rsid w:val="00DF6EEE"/>
    <w:rsid w:val="00E93E93"/>
    <w:rsid w:val="00EB2494"/>
    <w:rsid w:val="00F849AA"/>
    <w:rsid w:val="00F940A5"/>
    <w:rsid w:val="00F96C64"/>
    <w:rsid w:val="00FA1A0F"/>
    <w:rsid w:val="00FB0149"/>
    <w:rsid w:val="00FD040D"/>
    <w:rsid w:val="31157BDA"/>
    <w:rsid w:val="334B7E0D"/>
    <w:rsid w:val="42892138"/>
    <w:rsid w:val="730C7ECF"/>
    <w:rsid w:val="7BE9FDCE"/>
    <w:rsid w:val="E9F7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100" w:afterLines="100" w:line="360" w:lineRule="exact"/>
      <w:jc w:val="center"/>
      <w:outlineLvl w:val="0"/>
    </w:pPr>
    <w:rPr>
      <w:rFonts w:eastAsia="黑体"/>
      <w:bCs/>
      <w:kern w:val="44"/>
      <w:sz w:val="32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ocument Map"/>
    <w:basedOn w:val="1"/>
    <w:qFormat/>
    <w:uiPriority w:val="0"/>
    <w:rPr>
      <w:rFonts w:ascii="宋体"/>
      <w:sz w:val="18"/>
      <w:szCs w:val="18"/>
    </w:rPr>
  </w:style>
  <w:style w:type="paragraph" w:styleId="6">
    <w:name w:val="Balloon Text"/>
    <w:basedOn w:val="1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2">
    <w:name w:val="Hyperlink"/>
    <w:basedOn w:val="11"/>
    <w:qFormat/>
    <w:uiPriority w:val="0"/>
    <w:rPr>
      <w:rFonts w:ascii="Arial" w:hAnsi="Arial" w:eastAsia="Times New Roman" w:cs="Verdana"/>
      <w:b/>
      <w:color w:val="0000FF"/>
      <w:kern w:val="0"/>
      <w:sz w:val="24"/>
      <w:szCs w:val="20"/>
      <w:u w:val="single"/>
    </w:rPr>
  </w:style>
  <w:style w:type="paragraph" w:customStyle="1" w:styleId="13">
    <w:name w:val="段"/>
    <w:next w:val="5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7</Pages>
  <Words>444</Words>
  <Characters>2534</Characters>
  <Lines>21</Lines>
  <Paragraphs>5</Paragraphs>
  <TotalTime>2</TotalTime>
  <ScaleCrop>false</ScaleCrop>
  <LinksUpToDate>false</LinksUpToDate>
  <CharactersWithSpaces>2973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2022-01-01T23:48:00Z</dcterms:created>
  <dc:creator>fgzhen</dc:creator>
  <cp:lastModifiedBy>ysgz</cp:lastModifiedBy>
  <cp:lastPrinted>2024-10-22T22:48:00Z</cp:lastPrinted>
  <dcterms:modified xsi:type="dcterms:W3CDTF">2025-01-22T19:42:05Z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ADEB8FEB80AF4BE995D9E4440FC73CD0_13</vt:lpwstr>
  </property>
</Properties>
</file>